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140" w:tblpY="-941"/>
        <w:tblW w:w="9142" w:type="dxa"/>
        <w:tblLayout w:type="fixed"/>
        <w:tblCellMar>
          <w:left w:w="70" w:type="dxa"/>
          <w:right w:w="70" w:type="dxa"/>
        </w:tblCellMar>
        <w:tblLook w:val="0000" w:firstRow="0" w:lastRow="0" w:firstColumn="0" w:lastColumn="0" w:noHBand="0" w:noVBand="0"/>
      </w:tblPr>
      <w:tblGrid>
        <w:gridCol w:w="4748"/>
        <w:gridCol w:w="4394"/>
      </w:tblGrid>
      <w:tr w:rsidR="0098684F" w:rsidTr="001105A5">
        <w:trPr>
          <w:cantSplit/>
          <w:trHeight w:hRule="exact" w:val="284"/>
        </w:trPr>
        <w:tc>
          <w:tcPr>
            <w:tcW w:w="9142" w:type="dxa"/>
            <w:gridSpan w:val="2"/>
          </w:tcPr>
          <w:p w:rsidR="0098684F" w:rsidRDefault="0098684F" w:rsidP="008E7927">
            <w:pPr>
              <w:tabs>
                <w:tab w:val="left" w:pos="4823"/>
              </w:tabs>
            </w:pPr>
          </w:p>
        </w:tc>
      </w:tr>
      <w:tr w:rsidR="0098684F" w:rsidTr="001105A5">
        <w:trPr>
          <w:cantSplit/>
          <w:trHeight w:hRule="exact" w:val="706"/>
        </w:trPr>
        <w:tc>
          <w:tcPr>
            <w:tcW w:w="4748" w:type="dxa"/>
            <w:vAlign w:val="center"/>
          </w:tcPr>
          <w:p w:rsidR="0098684F" w:rsidRPr="00F900B4" w:rsidRDefault="0098684F" w:rsidP="008E7927">
            <w:pPr>
              <w:rPr>
                <w:rFonts w:ascii="Tahoma" w:hAnsi="Tahoma" w:cs="Tahoma"/>
                <w:b/>
                <w:sz w:val="22"/>
                <w:szCs w:val="22"/>
              </w:rPr>
            </w:pPr>
          </w:p>
        </w:tc>
        <w:tc>
          <w:tcPr>
            <w:tcW w:w="4394" w:type="dxa"/>
            <w:tcBorders>
              <w:bottom w:val="single" w:sz="4" w:space="0" w:color="auto"/>
            </w:tcBorders>
            <w:vAlign w:val="center"/>
          </w:tcPr>
          <w:p w:rsidR="0098684F" w:rsidRPr="008E7927" w:rsidRDefault="00FE2F6A" w:rsidP="008E7927">
            <w:pPr>
              <w:tabs>
                <w:tab w:val="left" w:pos="9072"/>
              </w:tabs>
              <w:rPr>
                <w:rFonts w:ascii="Tahoma" w:hAnsi="Tahoma" w:cs="Tahoma"/>
                <w:sz w:val="22"/>
                <w:szCs w:val="22"/>
              </w:rPr>
            </w:pPr>
            <w:r>
              <w:rPr>
                <w:rFonts w:ascii="Tahoma" w:hAnsi="Tahoma" w:cs="Tahoma"/>
                <w:noProof/>
                <w:sz w:val="22"/>
                <w:szCs w:val="22"/>
              </w:rPr>
              <w:drawing>
                <wp:inline distT="0" distB="0" distL="0" distR="0">
                  <wp:extent cx="1495425" cy="285750"/>
                  <wp:effectExtent l="0" t="0" r="9525" b="0"/>
                  <wp:docPr id="1" name="Slika 1" descr="znak_lp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lpp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tc>
      </w:tr>
      <w:tr w:rsidR="008E7927" w:rsidTr="001105A5">
        <w:trPr>
          <w:cantSplit/>
          <w:trHeight w:hRule="exact" w:val="2553"/>
        </w:trPr>
        <w:tc>
          <w:tcPr>
            <w:tcW w:w="4748" w:type="dxa"/>
            <w:tcBorders>
              <w:bottom w:val="nil"/>
            </w:tcBorders>
          </w:tcPr>
          <w:p w:rsidR="00350892" w:rsidRDefault="001D322E" w:rsidP="00F56CAD">
            <w:pPr>
              <w:rPr>
                <w:rFonts w:ascii="Tahoma" w:hAnsi="Tahoma" w:cs="Tahoma"/>
                <w:b/>
                <w:sz w:val="22"/>
                <w:szCs w:val="22"/>
              </w:rPr>
            </w:pPr>
            <w:r>
              <w:rPr>
                <w:rFonts w:ascii="Tahoma" w:hAnsi="Tahoma" w:cs="Tahoma"/>
                <w:b/>
                <w:sz w:val="22"/>
                <w:szCs w:val="22"/>
              </w:rPr>
              <w:t>Razširjen P</w:t>
            </w:r>
            <w:bookmarkStart w:id="0" w:name="_GoBack"/>
            <w:bookmarkEnd w:id="0"/>
            <w:r>
              <w:rPr>
                <w:rFonts w:ascii="Tahoma" w:hAnsi="Tahoma" w:cs="Tahoma"/>
                <w:b/>
                <w:sz w:val="22"/>
                <w:szCs w:val="22"/>
              </w:rPr>
              <w:t>otniški center LPP</w:t>
            </w:r>
          </w:p>
          <w:p w:rsidR="00F72E87" w:rsidRDefault="00F72E87" w:rsidP="00F56CAD">
            <w:pPr>
              <w:rPr>
                <w:rFonts w:ascii="Tahoma" w:hAnsi="Tahoma" w:cs="Tahoma"/>
                <w:b/>
                <w:sz w:val="22"/>
                <w:szCs w:val="22"/>
              </w:rPr>
            </w:pPr>
          </w:p>
          <w:p w:rsidR="001E2BF3" w:rsidRPr="001E2BF3" w:rsidRDefault="001E2BF3" w:rsidP="00CD4599">
            <w:pPr>
              <w:rPr>
                <w:rFonts w:ascii="Tahoma" w:hAnsi="Tahoma" w:cs="Tahoma"/>
                <w:sz w:val="22"/>
                <w:szCs w:val="22"/>
              </w:rPr>
            </w:pPr>
          </w:p>
        </w:tc>
        <w:tc>
          <w:tcPr>
            <w:tcW w:w="4394" w:type="dxa"/>
            <w:tcBorders>
              <w:bottom w:val="nil"/>
            </w:tcBorders>
          </w:tcPr>
          <w:p w:rsidR="00873D9E" w:rsidRPr="00873D9E" w:rsidRDefault="00873D9E" w:rsidP="008E7927">
            <w:pPr>
              <w:tabs>
                <w:tab w:val="left" w:pos="9072"/>
              </w:tabs>
              <w:rPr>
                <w:rFonts w:ascii="Tahoma" w:hAnsi="Tahoma" w:cs="Tahoma"/>
                <w:b/>
                <w:sz w:val="6"/>
                <w:szCs w:val="6"/>
              </w:rPr>
            </w:pPr>
          </w:p>
          <w:p w:rsidR="008E7927" w:rsidRPr="002C7CDE" w:rsidRDefault="008E7927" w:rsidP="008E7927">
            <w:pPr>
              <w:tabs>
                <w:tab w:val="left" w:pos="9072"/>
              </w:tabs>
              <w:rPr>
                <w:rFonts w:ascii="Tahoma" w:hAnsi="Tahoma" w:cs="Tahoma"/>
                <w:b/>
                <w:sz w:val="14"/>
                <w:szCs w:val="16"/>
              </w:rPr>
            </w:pPr>
            <w:r w:rsidRPr="002C7CDE">
              <w:rPr>
                <w:rFonts w:ascii="Tahoma" w:hAnsi="Tahoma" w:cs="Tahoma"/>
                <w:b/>
                <w:sz w:val="14"/>
                <w:szCs w:val="16"/>
              </w:rPr>
              <w:t>J</w:t>
            </w:r>
            <w:r w:rsidR="002C7CDE" w:rsidRPr="002C7CDE">
              <w:rPr>
                <w:rFonts w:ascii="Tahoma" w:hAnsi="Tahoma" w:cs="Tahoma"/>
                <w:b/>
                <w:sz w:val="14"/>
                <w:szCs w:val="16"/>
              </w:rPr>
              <w:t>AVNO PODJETJE LJUBLJANSKI POTNIŠKI PROMET</w:t>
            </w:r>
            <w:r w:rsidRPr="002C7CDE">
              <w:rPr>
                <w:rFonts w:ascii="Tahoma" w:hAnsi="Tahoma" w:cs="Tahoma"/>
                <w:b/>
                <w:sz w:val="14"/>
                <w:szCs w:val="16"/>
              </w:rPr>
              <w:t xml:space="preserve">, </w:t>
            </w:r>
            <w:r w:rsidR="001105A5">
              <w:rPr>
                <w:rFonts w:ascii="Tahoma" w:hAnsi="Tahoma" w:cs="Tahoma"/>
                <w:b/>
                <w:sz w:val="14"/>
                <w:szCs w:val="16"/>
              </w:rPr>
              <w:t>D</w:t>
            </w:r>
            <w:r w:rsidRPr="002C7CDE">
              <w:rPr>
                <w:rFonts w:ascii="Tahoma" w:hAnsi="Tahoma" w:cs="Tahoma"/>
                <w:b/>
                <w:sz w:val="14"/>
                <w:szCs w:val="16"/>
              </w:rPr>
              <w:t>.</w:t>
            </w:r>
            <w:r w:rsidR="001105A5">
              <w:rPr>
                <w:rFonts w:ascii="Tahoma" w:hAnsi="Tahoma" w:cs="Tahoma"/>
                <w:b/>
                <w:sz w:val="14"/>
                <w:szCs w:val="16"/>
              </w:rPr>
              <w:t>O</w:t>
            </w:r>
            <w:r w:rsidRPr="002C7CDE">
              <w:rPr>
                <w:rFonts w:ascii="Tahoma" w:hAnsi="Tahoma" w:cs="Tahoma"/>
                <w:b/>
                <w:sz w:val="14"/>
                <w:szCs w:val="16"/>
              </w:rPr>
              <w:t>.</w:t>
            </w:r>
            <w:r w:rsidR="001105A5">
              <w:rPr>
                <w:rFonts w:ascii="Tahoma" w:hAnsi="Tahoma" w:cs="Tahoma"/>
                <w:b/>
                <w:sz w:val="14"/>
                <w:szCs w:val="16"/>
              </w:rPr>
              <w:t>O</w:t>
            </w:r>
            <w:r w:rsidRPr="002C7CDE">
              <w:rPr>
                <w:rFonts w:ascii="Tahoma" w:hAnsi="Tahoma" w:cs="Tahoma"/>
                <w:b/>
                <w:sz w:val="14"/>
                <w:szCs w:val="16"/>
              </w:rPr>
              <w:t>.</w:t>
            </w:r>
          </w:p>
          <w:p w:rsidR="008E7927" w:rsidRPr="00FF3A3C" w:rsidRDefault="008E7927" w:rsidP="001105A5">
            <w:pPr>
              <w:tabs>
                <w:tab w:val="left" w:pos="9072"/>
              </w:tabs>
              <w:ind w:right="-71"/>
              <w:rPr>
                <w:rFonts w:ascii="Tahoma" w:hAnsi="Tahoma" w:cs="Tahoma"/>
                <w:sz w:val="16"/>
                <w:szCs w:val="16"/>
              </w:rPr>
            </w:pPr>
            <w:r w:rsidRPr="00FF3A3C">
              <w:rPr>
                <w:rFonts w:ascii="Tahoma" w:hAnsi="Tahoma" w:cs="Tahoma"/>
                <w:sz w:val="16"/>
                <w:szCs w:val="16"/>
              </w:rPr>
              <w:t>Celovška cesta 160</w:t>
            </w:r>
          </w:p>
          <w:p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1000 Ljubljana</w:t>
            </w:r>
          </w:p>
          <w:p w:rsidR="008E7927" w:rsidRPr="00FF3A3C" w:rsidRDefault="008E7927" w:rsidP="008E7927">
            <w:pPr>
              <w:tabs>
                <w:tab w:val="left" w:pos="9072"/>
              </w:tabs>
              <w:rPr>
                <w:rFonts w:ascii="Tahoma" w:hAnsi="Tahoma" w:cs="Tahoma"/>
                <w:sz w:val="16"/>
                <w:szCs w:val="16"/>
              </w:rPr>
            </w:pPr>
          </w:p>
          <w:p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T +386 1 58 22 460</w:t>
            </w:r>
          </w:p>
          <w:p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F +386 1 58 22 550</w:t>
            </w:r>
          </w:p>
          <w:p w:rsidR="008E7927" w:rsidRPr="00FF3A3C" w:rsidRDefault="008E7927" w:rsidP="008E7927">
            <w:pPr>
              <w:tabs>
                <w:tab w:val="left" w:pos="9072"/>
              </w:tabs>
              <w:rPr>
                <w:rFonts w:ascii="Tahoma" w:hAnsi="Tahoma" w:cs="Tahoma"/>
                <w:sz w:val="16"/>
                <w:szCs w:val="16"/>
              </w:rPr>
            </w:pPr>
          </w:p>
          <w:p w:rsidR="008E7927" w:rsidRPr="00FF3A3C" w:rsidRDefault="008E7927" w:rsidP="008E7927">
            <w:pPr>
              <w:tabs>
                <w:tab w:val="left" w:pos="9072"/>
              </w:tabs>
              <w:rPr>
                <w:rFonts w:ascii="Tahoma" w:hAnsi="Tahoma" w:cs="Tahoma"/>
                <w:sz w:val="16"/>
                <w:szCs w:val="16"/>
              </w:rPr>
            </w:pPr>
            <w:r w:rsidRPr="00FF3A3C">
              <w:rPr>
                <w:rFonts w:ascii="Tahoma" w:hAnsi="Tahoma" w:cs="Tahoma"/>
                <w:sz w:val="16"/>
                <w:szCs w:val="16"/>
              </w:rPr>
              <w:t xml:space="preserve">E </w:t>
            </w:r>
            <w:r w:rsidRPr="003D4CD4">
              <w:rPr>
                <w:rFonts w:ascii="Tahoma" w:hAnsi="Tahoma" w:cs="Tahoma"/>
                <w:sz w:val="16"/>
                <w:szCs w:val="16"/>
              </w:rPr>
              <w:t>mail@lpp.si</w:t>
            </w:r>
          </w:p>
          <w:p w:rsidR="008E7927" w:rsidRDefault="008E7927" w:rsidP="008E7927">
            <w:pPr>
              <w:tabs>
                <w:tab w:val="left" w:pos="9072"/>
              </w:tabs>
              <w:rPr>
                <w:rFonts w:ascii="Tahoma" w:hAnsi="Tahoma" w:cs="Tahoma"/>
                <w:sz w:val="16"/>
                <w:szCs w:val="16"/>
              </w:rPr>
            </w:pPr>
            <w:r w:rsidRPr="00FF3A3C">
              <w:rPr>
                <w:rFonts w:ascii="Tahoma" w:hAnsi="Tahoma" w:cs="Tahoma"/>
                <w:sz w:val="16"/>
                <w:szCs w:val="16"/>
              </w:rPr>
              <w:t xml:space="preserve">S </w:t>
            </w:r>
            <w:proofErr w:type="spellStart"/>
            <w:r w:rsidRPr="003D4CD4">
              <w:rPr>
                <w:rFonts w:ascii="Tahoma" w:hAnsi="Tahoma" w:cs="Tahoma"/>
                <w:sz w:val="16"/>
                <w:szCs w:val="16"/>
              </w:rPr>
              <w:t>www.</w:t>
            </w:r>
            <w:r w:rsidR="005E3702">
              <w:rPr>
                <w:rFonts w:ascii="Tahoma" w:hAnsi="Tahoma" w:cs="Tahoma"/>
                <w:sz w:val="16"/>
                <w:szCs w:val="16"/>
              </w:rPr>
              <w:t>lpp</w:t>
            </w:r>
            <w:r w:rsidRPr="003D4CD4">
              <w:rPr>
                <w:rFonts w:ascii="Tahoma" w:hAnsi="Tahoma" w:cs="Tahoma"/>
                <w:sz w:val="16"/>
                <w:szCs w:val="16"/>
              </w:rPr>
              <w:t>.si</w:t>
            </w:r>
            <w:proofErr w:type="spellEnd"/>
            <w:r w:rsidRPr="00FF3A3C">
              <w:rPr>
                <w:rFonts w:ascii="Tahoma" w:hAnsi="Tahoma" w:cs="Tahoma"/>
                <w:sz w:val="16"/>
                <w:szCs w:val="16"/>
              </w:rPr>
              <w:t xml:space="preserve"> </w:t>
            </w:r>
          </w:p>
          <w:p w:rsidR="008E7927" w:rsidRDefault="008E7927" w:rsidP="008E7927">
            <w:pPr>
              <w:tabs>
                <w:tab w:val="left" w:pos="9072"/>
              </w:tabs>
              <w:rPr>
                <w:rFonts w:ascii="Tahoma" w:hAnsi="Tahoma" w:cs="Tahoma"/>
                <w:sz w:val="16"/>
                <w:szCs w:val="16"/>
              </w:rPr>
            </w:pPr>
          </w:p>
          <w:p w:rsidR="008E7927" w:rsidRPr="00F900B4" w:rsidRDefault="0094101D" w:rsidP="008E7927">
            <w:pPr>
              <w:rPr>
                <w:rFonts w:ascii="Tahoma" w:hAnsi="Tahoma" w:cs="Tahoma"/>
                <w:sz w:val="16"/>
                <w:szCs w:val="16"/>
              </w:rPr>
            </w:pPr>
            <w:r>
              <w:rPr>
                <w:rFonts w:ascii="Tahoma" w:hAnsi="Tahoma" w:cs="Tahoma"/>
                <w:sz w:val="16"/>
                <w:szCs w:val="16"/>
              </w:rPr>
              <w:t xml:space="preserve">Datum: </w:t>
            </w:r>
            <w:r w:rsidR="00CD4599">
              <w:rPr>
                <w:rFonts w:ascii="Tahoma" w:hAnsi="Tahoma" w:cs="Tahoma"/>
                <w:sz w:val="16"/>
                <w:szCs w:val="16"/>
              </w:rPr>
              <w:t>27</w:t>
            </w:r>
            <w:r w:rsidR="00025FC2">
              <w:rPr>
                <w:rFonts w:ascii="Tahoma" w:hAnsi="Tahoma" w:cs="Tahoma"/>
                <w:sz w:val="16"/>
                <w:szCs w:val="16"/>
              </w:rPr>
              <w:t>.8.2015</w:t>
            </w:r>
          </w:p>
          <w:p w:rsidR="008E7927" w:rsidRPr="00975FA3" w:rsidRDefault="008E7927" w:rsidP="008E7927">
            <w:pPr>
              <w:tabs>
                <w:tab w:val="left" w:pos="9072"/>
              </w:tabs>
              <w:rPr>
                <w:rFonts w:ascii="Tahoma" w:hAnsi="Tahoma" w:cs="Tahoma"/>
                <w:sz w:val="22"/>
                <w:szCs w:val="22"/>
              </w:rPr>
            </w:pPr>
            <w:r w:rsidRPr="00F900B4">
              <w:rPr>
                <w:rFonts w:ascii="Tahoma" w:hAnsi="Tahoma" w:cs="Tahoma"/>
                <w:sz w:val="16"/>
                <w:szCs w:val="16"/>
              </w:rPr>
              <w:t>Številka:</w:t>
            </w:r>
            <w:r w:rsidR="0094101D">
              <w:rPr>
                <w:rFonts w:ascii="Tahoma" w:hAnsi="Tahoma" w:cs="Tahoma"/>
                <w:sz w:val="16"/>
                <w:szCs w:val="16"/>
              </w:rPr>
              <w:t xml:space="preserve"> </w:t>
            </w:r>
          </w:p>
        </w:tc>
      </w:tr>
    </w:tbl>
    <w:p w:rsidR="00F56CAD" w:rsidRDefault="00F56CAD" w:rsidP="00CE126D">
      <w:pPr>
        <w:jc w:val="both"/>
        <w:rPr>
          <w:rFonts w:ascii="Tahoma" w:hAnsi="Tahoma" w:cs="Tahoma"/>
          <w:sz w:val="22"/>
          <w:szCs w:val="22"/>
        </w:rPr>
      </w:pPr>
    </w:p>
    <w:p w:rsidR="00F56CAD" w:rsidRPr="00CD4599" w:rsidRDefault="001D322E" w:rsidP="00CE126D">
      <w:pPr>
        <w:jc w:val="both"/>
        <w:rPr>
          <w:rFonts w:ascii="Tahoma" w:hAnsi="Tahoma" w:cs="Tahoma"/>
        </w:rPr>
      </w:pPr>
      <w:r>
        <w:rPr>
          <w:rFonts w:ascii="Tahoma" w:hAnsi="Tahoma" w:cs="Tahoma"/>
          <w:b/>
        </w:rPr>
        <w:t>Ljubljana, 25</w:t>
      </w:r>
      <w:r w:rsidR="00341D01">
        <w:rPr>
          <w:rFonts w:ascii="Tahoma" w:hAnsi="Tahoma" w:cs="Tahoma"/>
          <w:b/>
        </w:rPr>
        <w:t xml:space="preserve">. avgust </w:t>
      </w:r>
      <w:r w:rsidR="006409A7">
        <w:rPr>
          <w:rFonts w:ascii="Tahoma" w:hAnsi="Tahoma" w:cs="Tahoma"/>
          <w:b/>
        </w:rPr>
        <w:t xml:space="preserve">2015 - </w:t>
      </w:r>
      <w:r w:rsidR="00F72E87" w:rsidRPr="00CD4599">
        <w:rPr>
          <w:rFonts w:ascii="Tahoma" w:hAnsi="Tahoma" w:cs="Tahoma"/>
          <w:b/>
        </w:rPr>
        <w:t xml:space="preserve">Ob Potniškem centru LPP na Slovenski cesti 56 smo odprli nov </w:t>
      </w:r>
      <w:r w:rsidR="00341D01">
        <w:rPr>
          <w:rFonts w:ascii="Tahoma" w:hAnsi="Tahoma" w:cs="Tahoma"/>
          <w:b/>
        </w:rPr>
        <w:t xml:space="preserve">prodajni </w:t>
      </w:r>
      <w:r w:rsidR="00F72E87" w:rsidRPr="00CD4599">
        <w:rPr>
          <w:rFonts w:ascii="Tahoma" w:hAnsi="Tahoma" w:cs="Tahoma"/>
          <w:b/>
        </w:rPr>
        <w:t>prostor in povečali prodajna mesta iz 5 na 14. Potniški center LPP bo z 9 dodatnimi prodajnimi mesti bistveno razbremenil obstoječega. Opremljen je z elektronsko vodenim sistemom za usmerjanje čakalnih vrst.</w:t>
      </w:r>
      <w:r w:rsidR="006409A7">
        <w:rPr>
          <w:rFonts w:ascii="Tahoma" w:hAnsi="Tahoma" w:cs="Tahoma"/>
          <w:b/>
        </w:rPr>
        <w:t xml:space="preserve"> Od septembra dalje bo lahko potnik območje, v katerem se najpogosteje vozi, označil na Urbani.</w:t>
      </w:r>
    </w:p>
    <w:p w:rsidR="00F72E87" w:rsidRPr="00CD4599" w:rsidRDefault="00F72E87" w:rsidP="00CE126D">
      <w:pPr>
        <w:jc w:val="both"/>
        <w:rPr>
          <w:rFonts w:ascii="Tahoma" w:hAnsi="Tahoma" w:cs="Tahoma"/>
        </w:rPr>
      </w:pPr>
    </w:p>
    <w:p w:rsidR="00F72E87" w:rsidRPr="00CD4599" w:rsidRDefault="00F72E87" w:rsidP="00F72E87">
      <w:pPr>
        <w:spacing w:after="120"/>
        <w:jc w:val="both"/>
        <w:rPr>
          <w:rFonts w:ascii="Tahoma" w:hAnsi="Tahoma" w:cs="Tahoma"/>
        </w:rPr>
      </w:pPr>
      <w:r w:rsidRPr="00CD4599">
        <w:rPr>
          <w:rFonts w:ascii="Tahoma" w:hAnsi="Tahoma" w:cs="Tahoma"/>
        </w:rPr>
        <w:t>Ob Potniškem centru LPP na Slovenski cesti 56 smo odprli nov prostor in povečali prodajna mesta iz 5 na 14. Potniški center LPP bo z 9 dodatnimi prodajnimi mesti bistveno razbremenil obstoječega. Opremljen je z elektronsko vodenim sistemom za usmerjanje čakalnih vrst.</w:t>
      </w:r>
    </w:p>
    <w:p w:rsidR="00F72E87" w:rsidRPr="00CD4599" w:rsidRDefault="00F72E87" w:rsidP="00F72E87">
      <w:pPr>
        <w:spacing w:after="120"/>
        <w:jc w:val="both"/>
        <w:rPr>
          <w:rFonts w:ascii="Tahoma" w:hAnsi="Tahoma" w:cs="Tahoma"/>
        </w:rPr>
      </w:pPr>
      <w:r w:rsidRPr="00CD4599">
        <w:rPr>
          <w:rFonts w:ascii="Tahoma" w:hAnsi="Tahoma" w:cs="Tahoma"/>
        </w:rPr>
        <w:t>Vhod v novi Potniški center LPP je neposredno iz pokrite pasaže na Slovenski 56 na Bavarskem dvoru, tik ob obstoječem Potniškem centru LPP. Prostor obsega skupno 150 m2. Pri snovanju ureditve notranjosti Potniškega centra LPP je arhitekt upošteval dejansko prostorsko stanje, ki je v celoti ohranjeno in s strani LPP zahtevano število devetih delovnih mest za poslovanje s strankami. Ob tem je bilo potrebno zagotoviti funkcionalno enovit prostor za zaposlene z navezavo na sosednji, stari Potniški center LPP. V novem delu Potniškega centra bodo letos obravnavani dijaki in študentje, v starem delu pa bomo lahko poleg dijakov in študentov zagotovili ločeno prodajno mesto za občane, upokojence in druge, kar bo občutno olajšalo izdelavo šolskih vozovnic, obenem pa zagotovilo občanom, da bodo imeli krajši čakalni čas.</w:t>
      </w:r>
    </w:p>
    <w:p w:rsidR="00F72E87" w:rsidRPr="00CD4599" w:rsidRDefault="00F72E87" w:rsidP="00F72E87">
      <w:pPr>
        <w:spacing w:after="120"/>
        <w:jc w:val="both"/>
        <w:rPr>
          <w:rFonts w:ascii="Tahoma" w:hAnsi="Tahoma" w:cs="Tahoma"/>
        </w:rPr>
      </w:pPr>
      <w:r w:rsidRPr="00CD4599">
        <w:rPr>
          <w:rFonts w:ascii="Tahoma" w:hAnsi="Tahoma" w:cs="Tahoma"/>
        </w:rPr>
        <w:t xml:space="preserve">Novi Potniški center LPP ima sistem za usmerjanje čakalnih vrst, kar pomeni, da bo pri vstopu v poslovalnico potrebno na terminalu vzeti čakalni listič, na katerem bo informacija o tem, koliko je predviden čas čakanja in kdaj bo obiskovalec na vrsti. Čakalni listič bo tako obiskovalcu omogočil, da zapusti Potniški center LPP ter se ponovno vrne ob času, ki bo zapisan na lističu. </w:t>
      </w:r>
    </w:p>
    <w:p w:rsidR="00577CD4" w:rsidRPr="00CD4599" w:rsidRDefault="00F72E87" w:rsidP="00F72E87">
      <w:pPr>
        <w:spacing w:after="120"/>
        <w:jc w:val="both"/>
        <w:rPr>
          <w:rFonts w:ascii="Tahoma" w:hAnsi="Tahoma" w:cs="Tahoma"/>
        </w:rPr>
      </w:pPr>
      <w:r w:rsidRPr="00CD4599">
        <w:rPr>
          <w:rFonts w:ascii="Tahoma" w:hAnsi="Tahoma" w:cs="Tahoma"/>
        </w:rPr>
        <w:t>LPP bo začel z novim šolskim letom na terminske vozovnice Urbana beležiti območno upravičenost. Zapis na Urbano bo v primeru dijakov in študentov urejen na osnovi »Vloge za izdajo mesečne vozovnice«, ki določa, kateri subvencioniran prevoz šolarju pripada od doma do šole. Zapisovanje območne upravičenosti za dijake in študente je sicer povezano z beleženjem prevozov v aplikaciji subvencioniranih vozovnic, ki jo vzdržuje Ministrstvo za infrastrukturo. Prav tako bodo območno upravičenost v bodoče na Urbano zapisovali občani in upokojenci. Referent jim bo ob izdelavi nove terminske Urbane svetoval, katero območje vpisati na kartico glede na pogostost potovanj, urejen zapis pa bo poenostavil nakup mesečne vozovnice na vseh prodajnih mestih.</w:t>
      </w:r>
    </w:p>
    <w:p w:rsidR="00F72E87" w:rsidRDefault="00F72E87" w:rsidP="00CD4599">
      <w:pPr>
        <w:spacing w:after="120"/>
        <w:jc w:val="center"/>
      </w:pPr>
      <w:r>
        <w:rPr>
          <w:rFonts w:ascii="Tahoma" w:hAnsi="Tahoma" w:cs="Tahoma"/>
          <w:noProof/>
          <w:szCs w:val="22"/>
        </w:rPr>
        <w:drawing>
          <wp:inline distT="0" distB="0" distL="0" distR="0" wp14:anchorId="6DBF164B" wp14:editId="56C73228">
            <wp:extent cx="3417343" cy="1924050"/>
            <wp:effectExtent l="0" t="0" r="0" b="0"/>
            <wp:docPr id="2" name="Slika 2" descr="Y:\PR\A - SPOROČILA ZA JAVNOST\2015\Potniški center lpp - novi\Potniški center LPP,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A - SPOROČILA ZA JAVNOST\2015\Potniški center lpp - novi\Potniški center LPP, sli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1967" cy="1926654"/>
                    </a:xfrm>
                    <a:prstGeom prst="rect">
                      <a:avLst/>
                    </a:prstGeom>
                    <a:noFill/>
                    <a:ln>
                      <a:noFill/>
                    </a:ln>
                  </pic:spPr>
                </pic:pic>
              </a:graphicData>
            </a:graphic>
          </wp:inline>
        </w:drawing>
      </w:r>
    </w:p>
    <w:p w:rsidR="008E7927" w:rsidRPr="006409A7" w:rsidRDefault="00F72E87" w:rsidP="00CD4599">
      <w:pPr>
        <w:jc w:val="center"/>
        <w:rPr>
          <w:rFonts w:ascii="Tahoma" w:hAnsi="Tahoma" w:cs="Tahoma"/>
        </w:rPr>
      </w:pPr>
      <w:r w:rsidRPr="006409A7">
        <w:rPr>
          <w:rFonts w:ascii="Tahoma" w:hAnsi="Tahoma" w:cs="Tahoma"/>
        </w:rPr>
        <w:t>Potniški center LPP, Vir: Biro Volk</w:t>
      </w:r>
    </w:p>
    <w:sectPr w:rsidR="008E7927" w:rsidRPr="006409A7" w:rsidSect="00EF4299">
      <w:footerReference w:type="default" r:id="rId11"/>
      <w:pgSz w:w="11906" w:h="16838"/>
      <w:pgMar w:top="1418" w:right="1274" w:bottom="1418" w:left="1418" w:header="680"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8B" w:rsidRDefault="00DE708B" w:rsidP="000433A9">
      <w:r>
        <w:separator/>
      </w:r>
    </w:p>
  </w:endnote>
  <w:endnote w:type="continuationSeparator" w:id="0">
    <w:p w:rsidR="00DE708B" w:rsidRDefault="00DE708B" w:rsidP="0004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78" w:rsidRPr="00664A77" w:rsidRDefault="00FE2F6A" w:rsidP="00664A77">
    <w:pPr>
      <w:pStyle w:val="Noga"/>
      <w:jc w:val="right"/>
    </w:pPr>
    <w:r>
      <w:rPr>
        <w:noProof/>
      </w:rPr>
      <w:drawing>
        <wp:anchor distT="0" distB="0" distL="114300" distR="114300" simplePos="0" relativeHeight="251658240" behindDoc="1" locked="0" layoutInCell="1" allowOverlap="1">
          <wp:simplePos x="0" y="0"/>
          <wp:positionH relativeFrom="column">
            <wp:posOffset>3436620</wp:posOffset>
          </wp:positionH>
          <wp:positionV relativeFrom="paragraph">
            <wp:posOffset>-491490</wp:posOffset>
          </wp:positionV>
          <wp:extent cx="2453640" cy="533400"/>
          <wp:effectExtent l="0" t="0" r="3810" b="0"/>
          <wp:wrapTight wrapText="bothSides">
            <wp:wrapPolygon edited="0">
              <wp:start x="0" y="0"/>
              <wp:lineTo x="0" y="20829"/>
              <wp:lineTo x="21466" y="20829"/>
              <wp:lineTo x="21466"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2922270</wp:posOffset>
          </wp:positionH>
          <wp:positionV relativeFrom="paragraph">
            <wp:posOffset>-430530</wp:posOffset>
          </wp:positionV>
          <wp:extent cx="514350" cy="685800"/>
          <wp:effectExtent l="0" t="0" r="0" b="0"/>
          <wp:wrapTight wrapText="bothSides">
            <wp:wrapPolygon edited="0">
              <wp:start x="0" y="0"/>
              <wp:lineTo x="0" y="21000"/>
              <wp:lineTo x="20800" y="21000"/>
              <wp:lineTo x="20800" y="0"/>
              <wp:lineTo x="0" y="0"/>
            </wp:wrapPolygon>
          </wp:wrapTight>
          <wp:docPr id="5" name="Slika 7" descr="EGC_logo_Winner_Ljubljan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EGC_logo_Winner_Ljubljana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8B" w:rsidRDefault="00DE708B" w:rsidP="000433A9">
      <w:r>
        <w:separator/>
      </w:r>
    </w:p>
  </w:footnote>
  <w:footnote w:type="continuationSeparator" w:id="0">
    <w:p w:rsidR="00DE708B" w:rsidRDefault="00DE708B" w:rsidP="0004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1B75"/>
    <w:multiLevelType w:val="hybridMultilevel"/>
    <w:tmpl w:val="003C38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8F"/>
    <w:rsid w:val="00025FC2"/>
    <w:rsid w:val="000433A9"/>
    <w:rsid w:val="0004364C"/>
    <w:rsid w:val="0005470D"/>
    <w:rsid w:val="00060CF7"/>
    <w:rsid w:val="000649F0"/>
    <w:rsid w:val="0007518F"/>
    <w:rsid w:val="00087303"/>
    <w:rsid w:val="000A4D16"/>
    <w:rsid w:val="000C3CCA"/>
    <w:rsid w:val="000E405F"/>
    <w:rsid w:val="00105BD9"/>
    <w:rsid w:val="00105CD1"/>
    <w:rsid w:val="001105A5"/>
    <w:rsid w:val="00115DCE"/>
    <w:rsid w:val="001324C4"/>
    <w:rsid w:val="001936F9"/>
    <w:rsid w:val="001A0638"/>
    <w:rsid w:val="001A07B2"/>
    <w:rsid w:val="001B57A8"/>
    <w:rsid w:val="001D322E"/>
    <w:rsid w:val="001E2BF3"/>
    <w:rsid w:val="00201535"/>
    <w:rsid w:val="002661B5"/>
    <w:rsid w:val="002820EA"/>
    <w:rsid w:val="002C7CDE"/>
    <w:rsid w:val="0030288B"/>
    <w:rsid w:val="00341D01"/>
    <w:rsid w:val="00350892"/>
    <w:rsid w:val="00360BC2"/>
    <w:rsid w:val="0039094E"/>
    <w:rsid w:val="003D4086"/>
    <w:rsid w:val="003D4CD4"/>
    <w:rsid w:val="00486185"/>
    <w:rsid w:val="005019F8"/>
    <w:rsid w:val="00514575"/>
    <w:rsid w:val="005178C2"/>
    <w:rsid w:val="00557CD9"/>
    <w:rsid w:val="00577CD4"/>
    <w:rsid w:val="005A6A39"/>
    <w:rsid w:val="005D0273"/>
    <w:rsid w:val="005E3702"/>
    <w:rsid w:val="005E3E78"/>
    <w:rsid w:val="005F0871"/>
    <w:rsid w:val="006321F3"/>
    <w:rsid w:val="006409A7"/>
    <w:rsid w:val="00664A77"/>
    <w:rsid w:val="00666748"/>
    <w:rsid w:val="00667BBD"/>
    <w:rsid w:val="00667C1E"/>
    <w:rsid w:val="006743B1"/>
    <w:rsid w:val="006D0356"/>
    <w:rsid w:val="006D444F"/>
    <w:rsid w:val="006F19D8"/>
    <w:rsid w:val="007102B1"/>
    <w:rsid w:val="0072461E"/>
    <w:rsid w:val="00733AEE"/>
    <w:rsid w:val="00766191"/>
    <w:rsid w:val="007B2871"/>
    <w:rsid w:val="007F2BDC"/>
    <w:rsid w:val="00803FF5"/>
    <w:rsid w:val="00833B73"/>
    <w:rsid w:val="00873D9E"/>
    <w:rsid w:val="008A04E5"/>
    <w:rsid w:val="008A7FA5"/>
    <w:rsid w:val="008B381C"/>
    <w:rsid w:val="008B4899"/>
    <w:rsid w:val="008E707B"/>
    <w:rsid w:val="008E7927"/>
    <w:rsid w:val="009071EB"/>
    <w:rsid w:val="00911EBB"/>
    <w:rsid w:val="00925A06"/>
    <w:rsid w:val="00932259"/>
    <w:rsid w:val="0094101D"/>
    <w:rsid w:val="00943DB7"/>
    <w:rsid w:val="0097178C"/>
    <w:rsid w:val="00975FA3"/>
    <w:rsid w:val="00985100"/>
    <w:rsid w:val="0098684F"/>
    <w:rsid w:val="00992971"/>
    <w:rsid w:val="009943C1"/>
    <w:rsid w:val="00995CB6"/>
    <w:rsid w:val="009965FF"/>
    <w:rsid w:val="009A025A"/>
    <w:rsid w:val="00A2126D"/>
    <w:rsid w:val="00AC4B55"/>
    <w:rsid w:val="00B1609E"/>
    <w:rsid w:val="00B36AAA"/>
    <w:rsid w:val="00B97C9E"/>
    <w:rsid w:val="00BE1CBB"/>
    <w:rsid w:val="00C035E3"/>
    <w:rsid w:val="00C041D9"/>
    <w:rsid w:val="00C703AB"/>
    <w:rsid w:val="00CC29A8"/>
    <w:rsid w:val="00CC459C"/>
    <w:rsid w:val="00CD4599"/>
    <w:rsid w:val="00CE126D"/>
    <w:rsid w:val="00CF04D3"/>
    <w:rsid w:val="00D03D3C"/>
    <w:rsid w:val="00D8061D"/>
    <w:rsid w:val="00D80932"/>
    <w:rsid w:val="00D91E5C"/>
    <w:rsid w:val="00D934B9"/>
    <w:rsid w:val="00DA122C"/>
    <w:rsid w:val="00DE362D"/>
    <w:rsid w:val="00DE708B"/>
    <w:rsid w:val="00DF391C"/>
    <w:rsid w:val="00DF5C7F"/>
    <w:rsid w:val="00E32934"/>
    <w:rsid w:val="00E84250"/>
    <w:rsid w:val="00E940DF"/>
    <w:rsid w:val="00EF4299"/>
    <w:rsid w:val="00F1182F"/>
    <w:rsid w:val="00F56CAD"/>
    <w:rsid w:val="00F63057"/>
    <w:rsid w:val="00F72E87"/>
    <w:rsid w:val="00F76F6C"/>
    <w:rsid w:val="00F83956"/>
    <w:rsid w:val="00F900B4"/>
    <w:rsid w:val="00F91CD7"/>
    <w:rsid w:val="00FC1F24"/>
    <w:rsid w:val="00FE2F6A"/>
    <w:rsid w:val="00FE45A0"/>
    <w:rsid w:val="00FF3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84F"/>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8684F"/>
    <w:rPr>
      <w:rFonts w:ascii="Tahoma" w:hAnsi="Tahoma" w:cs="Tahoma"/>
      <w:sz w:val="16"/>
      <w:szCs w:val="16"/>
    </w:rPr>
  </w:style>
  <w:style w:type="character" w:customStyle="1" w:styleId="BesedilooblakaZnak">
    <w:name w:val="Besedilo oblačka Znak"/>
    <w:link w:val="Besedilooblaka"/>
    <w:uiPriority w:val="99"/>
    <w:semiHidden/>
    <w:rsid w:val="0098684F"/>
    <w:rPr>
      <w:rFonts w:ascii="Tahoma" w:eastAsia="Times New Roman" w:hAnsi="Tahoma" w:cs="Tahoma"/>
      <w:sz w:val="16"/>
      <w:szCs w:val="16"/>
      <w:lang w:eastAsia="sl-SI"/>
    </w:rPr>
  </w:style>
  <w:style w:type="character" w:styleId="Hiperpovezava">
    <w:name w:val="Hyperlink"/>
    <w:uiPriority w:val="99"/>
    <w:unhideWhenUsed/>
    <w:rsid w:val="00FF3A3C"/>
    <w:rPr>
      <w:color w:val="0000FF"/>
      <w:u w:val="single"/>
    </w:rPr>
  </w:style>
  <w:style w:type="paragraph" w:styleId="Glava">
    <w:name w:val="header"/>
    <w:basedOn w:val="Navaden"/>
    <w:link w:val="GlavaZnak"/>
    <w:uiPriority w:val="99"/>
    <w:unhideWhenUsed/>
    <w:rsid w:val="000433A9"/>
    <w:pPr>
      <w:tabs>
        <w:tab w:val="center" w:pos="4536"/>
        <w:tab w:val="right" w:pos="9072"/>
      </w:tabs>
    </w:pPr>
  </w:style>
  <w:style w:type="character" w:customStyle="1" w:styleId="GlavaZnak">
    <w:name w:val="Glava Znak"/>
    <w:link w:val="Glava"/>
    <w:uiPriority w:val="99"/>
    <w:rsid w:val="000433A9"/>
    <w:rPr>
      <w:rFonts w:ascii="Times New Roman" w:eastAsia="Times New Roman" w:hAnsi="Times New Roman"/>
    </w:rPr>
  </w:style>
  <w:style w:type="paragraph" w:styleId="Noga">
    <w:name w:val="footer"/>
    <w:basedOn w:val="Navaden"/>
    <w:link w:val="NogaZnak"/>
    <w:uiPriority w:val="99"/>
    <w:unhideWhenUsed/>
    <w:rsid w:val="000433A9"/>
    <w:pPr>
      <w:tabs>
        <w:tab w:val="center" w:pos="4536"/>
        <w:tab w:val="right" w:pos="9072"/>
      </w:tabs>
    </w:pPr>
  </w:style>
  <w:style w:type="character" w:customStyle="1" w:styleId="NogaZnak">
    <w:name w:val="Noga Znak"/>
    <w:link w:val="Noga"/>
    <w:uiPriority w:val="99"/>
    <w:rsid w:val="000433A9"/>
    <w:rPr>
      <w:rFonts w:ascii="Times New Roman" w:eastAsia="Times New Roman" w:hAnsi="Times New Roman"/>
    </w:rPr>
  </w:style>
  <w:style w:type="table" w:customStyle="1" w:styleId="Tabela-mrea">
    <w:name w:val="Tabela - mreža"/>
    <w:basedOn w:val="Navadnatabela"/>
    <w:uiPriority w:val="59"/>
    <w:rsid w:val="00132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1E2BF3"/>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84F"/>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8684F"/>
    <w:rPr>
      <w:rFonts w:ascii="Tahoma" w:hAnsi="Tahoma" w:cs="Tahoma"/>
      <w:sz w:val="16"/>
      <w:szCs w:val="16"/>
    </w:rPr>
  </w:style>
  <w:style w:type="character" w:customStyle="1" w:styleId="BesedilooblakaZnak">
    <w:name w:val="Besedilo oblačka Znak"/>
    <w:link w:val="Besedilooblaka"/>
    <w:uiPriority w:val="99"/>
    <w:semiHidden/>
    <w:rsid w:val="0098684F"/>
    <w:rPr>
      <w:rFonts w:ascii="Tahoma" w:eastAsia="Times New Roman" w:hAnsi="Tahoma" w:cs="Tahoma"/>
      <w:sz w:val="16"/>
      <w:szCs w:val="16"/>
      <w:lang w:eastAsia="sl-SI"/>
    </w:rPr>
  </w:style>
  <w:style w:type="character" w:styleId="Hiperpovezava">
    <w:name w:val="Hyperlink"/>
    <w:uiPriority w:val="99"/>
    <w:unhideWhenUsed/>
    <w:rsid w:val="00FF3A3C"/>
    <w:rPr>
      <w:color w:val="0000FF"/>
      <w:u w:val="single"/>
    </w:rPr>
  </w:style>
  <w:style w:type="paragraph" w:styleId="Glava">
    <w:name w:val="header"/>
    <w:basedOn w:val="Navaden"/>
    <w:link w:val="GlavaZnak"/>
    <w:uiPriority w:val="99"/>
    <w:unhideWhenUsed/>
    <w:rsid w:val="000433A9"/>
    <w:pPr>
      <w:tabs>
        <w:tab w:val="center" w:pos="4536"/>
        <w:tab w:val="right" w:pos="9072"/>
      </w:tabs>
    </w:pPr>
  </w:style>
  <w:style w:type="character" w:customStyle="1" w:styleId="GlavaZnak">
    <w:name w:val="Glava Znak"/>
    <w:link w:val="Glava"/>
    <w:uiPriority w:val="99"/>
    <w:rsid w:val="000433A9"/>
    <w:rPr>
      <w:rFonts w:ascii="Times New Roman" w:eastAsia="Times New Roman" w:hAnsi="Times New Roman"/>
    </w:rPr>
  </w:style>
  <w:style w:type="paragraph" w:styleId="Noga">
    <w:name w:val="footer"/>
    <w:basedOn w:val="Navaden"/>
    <w:link w:val="NogaZnak"/>
    <w:uiPriority w:val="99"/>
    <w:unhideWhenUsed/>
    <w:rsid w:val="000433A9"/>
    <w:pPr>
      <w:tabs>
        <w:tab w:val="center" w:pos="4536"/>
        <w:tab w:val="right" w:pos="9072"/>
      </w:tabs>
    </w:pPr>
  </w:style>
  <w:style w:type="character" w:customStyle="1" w:styleId="NogaZnak">
    <w:name w:val="Noga Znak"/>
    <w:link w:val="Noga"/>
    <w:uiPriority w:val="99"/>
    <w:rsid w:val="000433A9"/>
    <w:rPr>
      <w:rFonts w:ascii="Times New Roman" w:eastAsia="Times New Roman" w:hAnsi="Times New Roman"/>
    </w:rPr>
  </w:style>
  <w:style w:type="table" w:customStyle="1" w:styleId="Tabela-mrea">
    <w:name w:val="Tabela - mreža"/>
    <w:basedOn w:val="Navadnatabela"/>
    <w:uiPriority w:val="59"/>
    <w:rsid w:val="001324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1E2BF3"/>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8159">
      <w:bodyDiv w:val="1"/>
      <w:marLeft w:val="0"/>
      <w:marRight w:val="0"/>
      <w:marTop w:val="0"/>
      <w:marBottom w:val="0"/>
      <w:divBdr>
        <w:top w:val="none" w:sz="0" w:space="0" w:color="auto"/>
        <w:left w:val="none" w:sz="0" w:space="0" w:color="auto"/>
        <w:bottom w:val="none" w:sz="0" w:space="0" w:color="auto"/>
        <w:right w:val="none" w:sz="0" w:space="0" w:color="auto"/>
      </w:divBdr>
    </w:div>
    <w:div w:id="327248770">
      <w:bodyDiv w:val="1"/>
      <w:marLeft w:val="0"/>
      <w:marRight w:val="0"/>
      <w:marTop w:val="0"/>
      <w:marBottom w:val="0"/>
      <w:divBdr>
        <w:top w:val="none" w:sz="0" w:space="0" w:color="auto"/>
        <w:left w:val="none" w:sz="0" w:space="0" w:color="auto"/>
        <w:bottom w:val="none" w:sz="0" w:space="0" w:color="auto"/>
        <w:right w:val="none" w:sz="0" w:space="0" w:color="auto"/>
      </w:divBdr>
    </w:div>
    <w:div w:id="538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Dopisi\msoffice\Predloga_1-LP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54A4-A503-4FF3-AC08-7479FF08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Predloga_1-LPP.dot</Template>
  <TotalTime>1</TotalTime>
  <Pages>1</Pages>
  <Words>430</Words>
  <Characters>2454</Characters>
  <Application>Microsoft Office Word</Application>
  <DocSecurity>4</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Javno podjetje Ljubljanski potniški promet</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2015-08-18T06:17:00Z</cp:lastPrinted>
  <dcterms:created xsi:type="dcterms:W3CDTF">2015-08-25T09:05:00Z</dcterms:created>
  <dcterms:modified xsi:type="dcterms:W3CDTF">2015-08-25T09:05:00Z</dcterms:modified>
</cp:coreProperties>
</file>