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C86132">
        <w:rPr>
          <w:rFonts w:ascii="Tahoma" w:hAnsi="Tahoma" w:cs="Tahoma"/>
          <w:sz w:val="20"/>
          <w:lang w:val="en-US"/>
        </w:rPr>
        <w:t>26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1A4BB9">
        <w:rPr>
          <w:rFonts w:ascii="Tahoma" w:hAnsi="Tahoma" w:cs="Tahoma"/>
          <w:sz w:val="20"/>
          <w:lang w:val="en-US"/>
        </w:rPr>
        <w:t xml:space="preserve"> 4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32D14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1A4BB9">
        <w:rPr>
          <w:rFonts w:ascii="Tahoma" w:hAnsi="Tahoma" w:cs="Tahoma"/>
          <w:b/>
          <w:bCs/>
          <w:sz w:val="20"/>
        </w:rPr>
        <w:t>LPP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1A4BB9">
        <w:rPr>
          <w:rFonts w:ascii="Tahoma" w:hAnsi="Tahoma" w:cs="Tahoma"/>
          <w:b/>
          <w:bCs/>
          <w:sz w:val="20"/>
        </w:rPr>
        <w:t>41/22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</w:t>
      </w:r>
      <w:r w:rsidR="001A4BB9">
        <w:rPr>
          <w:rFonts w:ascii="Tahoma" w:hAnsi="Tahoma" w:cs="Tahoma"/>
          <w:b/>
          <w:bCs/>
          <w:sz w:val="20"/>
        </w:rPr>
        <w:t>nadomestnih delov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932D14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Poleg tega naročnik tudi spreminja razpisno dokumentacijo.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DB66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2068BC">
        <w:rPr>
          <w:rFonts w:ascii="Tahoma" w:hAnsi="Tahoma" w:cs="Tahoma"/>
          <w:color w:val="333333"/>
          <w:sz w:val="20"/>
        </w:rPr>
        <w:t xml:space="preserve"> </w:t>
      </w: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za sklop 3 Mercedes-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Benz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, niso poznane spodnje kataloške številke: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252,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6.148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 112,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501.325.886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365,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Q891901825850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432,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7.511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586,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002 997 38 71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749,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002 997 65 47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758,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7.603.012.102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779,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015 997 48 45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782,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7.603.008.109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783,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Q8319128168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880,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594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883,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411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884,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413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891,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N0004722047000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952,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270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954,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4.050</w:t>
      </w:r>
    </w:p>
    <w:p w:rsidR="002068BC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966,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000 990 59 99</w:t>
      </w:r>
    </w:p>
    <w:p w:rsidR="000D6CA0" w:rsidRPr="002068BC" w:rsidRDefault="002068BC" w:rsidP="00DB6618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2068BC">
        <w:rPr>
          <w:rFonts w:ascii="Tahoma" w:hAnsi="Tahoma" w:cs="Tahoma"/>
          <w:color w:val="333333"/>
          <w:sz w:val="20"/>
          <w:shd w:val="clear" w:color="auto" w:fill="FFFFFF"/>
        </w:rPr>
        <w:t xml:space="preserve">poz. 1004, </w:t>
      </w:r>
      <w:proofErr w:type="spellStart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2068BC">
        <w:rPr>
          <w:rFonts w:ascii="Tahoma" w:hAnsi="Tahoma" w:cs="Tahoma"/>
          <w:color w:val="333333"/>
          <w:sz w:val="20"/>
          <w:shd w:val="clear" w:color="auto" w:fill="FFFFFF"/>
        </w:rPr>
        <w:t>. 1.674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2068BC" w:rsidRPr="005955C4" w:rsidRDefault="002068BC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955C4">
        <w:rPr>
          <w:rFonts w:ascii="Tahoma" w:hAnsi="Tahoma" w:cs="Tahoma"/>
          <w:bCs/>
          <w:sz w:val="20"/>
        </w:rPr>
        <w:t xml:space="preserve">Pravilne kataloške številke navedenih nadomestnih delov za sklop št. 3: MB splošni rezervni deli so: </w:t>
      </w:r>
    </w:p>
    <w:p w:rsidR="002068BC" w:rsidRPr="00601C81" w:rsidRDefault="002068BC" w:rsidP="002068BC">
      <w:pPr>
        <w:rPr>
          <w:rFonts w:ascii="Tahoma" w:hAnsi="Tahoma" w:cs="Tahoma"/>
          <w:color w:val="1F497D"/>
          <w:sz w:val="20"/>
        </w:rPr>
      </w:pP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252,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N000000006148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 112,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0501 325 886 prestavi se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 v </w:t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št.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sklop 10 ZF REZERVNI DELI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365,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Q891901825850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432,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N000000007511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586,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A0029973871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749,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A0029976547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758,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N007603012102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779,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A0159974845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782,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N007603008109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783,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. Q83191281680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880, </w:t>
      </w:r>
      <w:proofErr w:type="spellStart"/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N000000000594</w:t>
      </w:r>
      <w:r w:rsidRPr="005955C4">
        <w:rPr>
          <w:rFonts w:ascii="Tahoma" w:hAnsi="Tahoma" w:cs="Tahoma"/>
          <w:color w:val="333333"/>
          <w:sz w:val="20"/>
        </w:rPr>
        <w:br/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883, </w:t>
      </w:r>
      <w:proofErr w:type="spellStart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N000000000411</w:t>
      </w:r>
      <w:r w:rsidRPr="005955C4">
        <w:rPr>
          <w:rFonts w:ascii="Tahoma" w:hAnsi="Tahoma" w:cs="Tahoma"/>
          <w:color w:val="333333"/>
          <w:sz w:val="20"/>
        </w:rPr>
        <w:br/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884, </w:t>
      </w:r>
      <w:proofErr w:type="spellStart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N000000000413</w:t>
      </w:r>
      <w:r w:rsidRPr="005955C4">
        <w:rPr>
          <w:rFonts w:ascii="Tahoma" w:hAnsi="Tahoma" w:cs="Tahoma"/>
          <w:color w:val="333333"/>
          <w:sz w:val="20"/>
        </w:rPr>
        <w:br/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poz. 891, kat.št.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N000472047000</w:t>
      </w:r>
      <w:r w:rsidRPr="005955C4">
        <w:rPr>
          <w:rFonts w:ascii="Tahoma" w:hAnsi="Tahoma" w:cs="Tahoma"/>
          <w:color w:val="333333"/>
          <w:sz w:val="20"/>
        </w:rPr>
        <w:br/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poz. 952, </w:t>
      </w:r>
      <w:proofErr w:type="spellStart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N000000000270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p</w:t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oz. 954, </w:t>
      </w:r>
      <w:proofErr w:type="spellStart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N000000004050</w:t>
      </w:r>
      <w:r w:rsidRPr="005955C4">
        <w:rPr>
          <w:rFonts w:ascii="Tahoma" w:hAnsi="Tahoma" w:cs="Tahoma"/>
          <w:color w:val="333333"/>
          <w:sz w:val="20"/>
        </w:rPr>
        <w:br/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po</w:t>
      </w:r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z. 966, </w:t>
      </w:r>
      <w:proofErr w:type="spellStart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>kat.št</w:t>
      </w:r>
      <w:proofErr w:type="spellEnd"/>
      <w:r w:rsidR="00601C81" w:rsidRPr="005955C4">
        <w:rPr>
          <w:rFonts w:ascii="Tahoma" w:hAnsi="Tahoma" w:cs="Tahoma"/>
          <w:color w:val="333333"/>
          <w:sz w:val="20"/>
          <w:shd w:val="clear" w:color="auto" w:fill="FFFFFF"/>
        </w:rPr>
        <w:t xml:space="preserve">. </w:t>
      </w:r>
      <w:r w:rsidRPr="005955C4">
        <w:rPr>
          <w:rFonts w:ascii="Tahoma" w:hAnsi="Tahoma" w:cs="Tahoma"/>
          <w:color w:val="333333"/>
          <w:sz w:val="20"/>
          <w:shd w:val="clear" w:color="auto" w:fill="FFFFFF"/>
        </w:rPr>
        <w:t>A0009905999</w:t>
      </w:r>
      <w:r w:rsidRPr="00601C81">
        <w:rPr>
          <w:rFonts w:ascii="Tahoma" w:hAnsi="Tahoma" w:cs="Tahoma"/>
          <w:color w:val="333333"/>
          <w:sz w:val="20"/>
        </w:rPr>
        <w:br/>
      </w:r>
      <w:r w:rsidRPr="00601C81">
        <w:rPr>
          <w:rFonts w:ascii="Tahoma" w:hAnsi="Tahoma" w:cs="Tahoma"/>
          <w:color w:val="333333"/>
          <w:sz w:val="20"/>
          <w:shd w:val="clear" w:color="auto" w:fill="FFFFFF"/>
        </w:rPr>
        <w:t>p</w:t>
      </w:r>
      <w:r w:rsidR="00601C81" w:rsidRPr="00601C81">
        <w:rPr>
          <w:rFonts w:ascii="Tahoma" w:hAnsi="Tahoma" w:cs="Tahoma"/>
          <w:color w:val="333333"/>
          <w:sz w:val="20"/>
          <w:shd w:val="clear" w:color="auto" w:fill="FFFFFF"/>
        </w:rPr>
        <w:t>oz. 1004, kat.št.</w:t>
      </w:r>
      <w:r w:rsidRPr="00601C81">
        <w:rPr>
          <w:rFonts w:ascii="Tahoma" w:hAnsi="Tahoma" w:cs="Tahoma"/>
          <w:color w:val="333333"/>
          <w:sz w:val="20"/>
          <w:shd w:val="clear" w:color="auto" w:fill="FFFFFF"/>
        </w:rPr>
        <w:t>N000000001674</w:t>
      </w:r>
      <w:r w:rsidR="00601C81" w:rsidRPr="00601C81">
        <w:rPr>
          <w:rFonts w:ascii="Tahoma" w:hAnsi="Tahoma" w:cs="Tahoma"/>
          <w:color w:val="333333"/>
          <w:sz w:val="20"/>
          <w:shd w:val="clear" w:color="auto" w:fill="FFFFFF"/>
        </w:rPr>
        <w:t>.</w:t>
      </w:r>
    </w:p>
    <w:p w:rsidR="002068BC" w:rsidRPr="000D6CA0" w:rsidRDefault="002068BC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Postavka/poz. 112 se iz ponudbenega predračuna za sklop št. 3: MB splošni rezervni deli</w:t>
      </w:r>
      <w:r w:rsidR="00601C81">
        <w:rPr>
          <w:rFonts w:ascii="Tahoma" w:hAnsi="Tahoma" w:cs="Tahoma"/>
          <w:bCs/>
          <w:sz w:val="20"/>
        </w:rPr>
        <w:t xml:space="preserve"> črta in se prestavi v sklop št. 10: ZF rezervni deli (na zadnjo/novo postavko ponudbenega predračuna)</w:t>
      </w:r>
      <w:r>
        <w:rPr>
          <w:rFonts w:ascii="Tahoma" w:hAnsi="Tahoma" w:cs="Tahoma"/>
          <w:bCs/>
          <w:sz w:val="20"/>
        </w:rPr>
        <w:t xml:space="preserve">. </w:t>
      </w:r>
    </w:p>
    <w:p w:rsidR="002068BC" w:rsidRDefault="002068BC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2068BC" w:rsidRPr="000D6CA0" w:rsidRDefault="002068BC" w:rsidP="00DD1F41">
      <w:pPr>
        <w:keepNext/>
        <w:keepLines/>
        <w:pBdr>
          <w:bottom w:val="single" w:sz="4" w:space="0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 Portalu javnih naročil in na svoji spletni strani objavlja spremenjen ponudbeni predračun </w:t>
      </w:r>
      <w:r w:rsidR="00601C81">
        <w:rPr>
          <w:rFonts w:ascii="Tahoma" w:hAnsi="Tahoma" w:cs="Tahoma"/>
          <w:bCs/>
          <w:sz w:val="20"/>
        </w:rPr>
        <w:t xml:space="preserve">za sklop št. 3: MB splošni rezervni deli in sklop št. 10: ZF rezervni deli, </w:t>
      </w:r>
      <w:r>
        <w:rPr>
          <w:rFonts w:ascii="Tahoma" w:hAnsi="Tahoma" w:cs="Tahoma"/>
          <w:bCs/>
          <w:sz w:val="20"/>
        </w:rPr>
        <w:t xml:space="preserve">v skladu z navedeno spremembo. Ponudniki morajo </w:t>
      </w:r>
      <w:r w:rsidR="00601C81">
        <w:rPr>
          <w:rFonts w:ascii="Tahoma" w:hAnsi="Tahoma" w:cs="Tahoma"/>
          <w:bCs/>
          <w:sz w:val="20"/>
        </w:rPr>
        <w:t xml:space="preserve">za navedena sklopa </w:t>
      </w:r>
      <w:r>
        <w:rPr>
          <w:rFonts w:ascii="Tahoma" w:hAnsi="Tahoma" w:cs="Tahoma"/>
          <w:bCs/>
          <w:sz w:val="20"/>
        </w:rPr>
        <w:t>oddati ponudbo na spremenjene</w:t>
      </w:r>
      <w:r w:rsidR="00F14D9E">
        <w:rPr>
          <w:rFonts w:ascii="Tahoma" w:hAnsi="Tahoma" w:cs="Tahoma"/>
          <w:bCs/>
          <w:sz w:val="20"/>
        </w:rPr>
        <w:t>m ponudbenem predračunu z dne 26</w:t>
      </w:r>
      <w:r>
        <w:rPr>
          <w:rFonts w:ascii="Tahoma" w:hAnsi="Tahoma" w:cs="Tahoma"/>
          <w:bCs/>
          <w:sz w:val="20"/>
        </w:rPr>
        <w:t>. 4. 2022.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F64E7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601C81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01C81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601C81">
        <w:rPr>
          <w:rFonts w:ascii="Tahoma" w:hAnsi="Tahoma" w:cs="Tahoma"/>
          <w:bCs/>
          <w:sz w:val="20"/>
        </w:rPr>
        <w:t>glede na odgovore, objavljene 21.4.2022, me zanima, če jih pravilno razumem:</w:t>
      </w:r>
      <w:r w:rsidRPr="00601C81">
        <w:rPr>
          <w:rFonts w:ascii="Tahoma" w:hAnsi="Tahoma" w:cs="Tahoma"/>
          <w:bCs/>
          <w:sz w:val="20"/>
        </w:rPr>
        <w:br/>
        <w:t>1- če za sklop ni bilo sprememb, se ponudbo za sklop odda na prvotno objavljenem ponudbenem predračunu (11.4.2022).</w:t>
      </w:r>
    </w:p>
    <w:p w:rsidR="00601C81" w:rsidRPr="00601C81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601C81">
        <w:rPr>
          <w:rFonts w:ascii="Tahoma" w:hAnsi="Tahoma" w:cs="Tahoma"/>
          <w:bCs/>
          <w:sz w:val="20"/>
        </w:rPr>
        <w:t>2- osnutek okvirnega sporazuma, ki ga moramo sedaj izpolniti in priložiti k ponudbi ostaja nespremenjen. Spremembe bodo upoštevane šele pri samem sklepanju okvirnega sporazuma z izbranim ponudnikom.</w:t>
      </w:r>
    </w:p>
    <w:p w:rsidR="00601C81" w:rsidRDefault="00601C81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072D7" w:rsidRDefault="002068BC" w:rsidP="008072D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8072D7" w:rsidRDefault="008072D7" w:rsidP="008536AE">
      <w:pPr>
        <w:pStyle w:val="Odstavekseznama"/>
        <w:keepNext/>
        <w:keepLines/>
        <w:numPr>
          <w:ilvl w:val="0"/>
          <w:numId w:val="35"/>
        </w:numPr>
        <w:ind w:left="284" w:right="425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Ponudniki oddajo ponudbo na spremenjenem ponudbenem</w:t>
      </w:r>
      <w:r w:rsidR="00DD1F41">
        <w:rPr>
          <w:rFonts w:ascii="Tahoma" w:hAnsi="Tahoma" w:cs="Tahoma"/>
          <w:sz w:val="20"/>
        </w:rPr>
        <w:t xml:space="preserve"> predračunu z dne spremembe le z</w:t>
      </w:r>
      <w:r>
        <w:rPr>
          <w:rFonts w:ascii="Tahoma" w:hAnsi="Tahoma" w:cs="Tahoma"/>
          <w:sz w:val="20"/>
        </w:rPr>
        <w:t xml:space="preserve">a tiste sklope predmeta javnega naročila, za katere je bila </w:t>
      </w:r>
      <w:r w:rsidR="00DD1F41">
        <w:rPr>
          <w:rFonts w:ascii="Tahoma" w:hAnsi="Tahoma" w:cs="Tahoma"/>
          <w:sz w:val="20"/>
        </w:rPr>
        <w:t xml:space="preserve">tistega </w:t>
      </w:r>
      <w:r>
        <w:rPr>
          <w:rFonts w:ascii="Tahoma" w:hAnsi="Tahoma" w:cs="Tahoma"/>
          <w:sz w:val="20"/>
        </w:rPr>
        <w:t>spremenjena razpisna dokumentacija oziroma ponudbeni predračun. Za sklope, za katere naročnik ni spreminjal ponudbenega predračuna</w:t>
      </w:r>
      <w:r w:rsidR="008536AE">
        <w:rPr>
          <w:rFonts w:ascii="Tahoma" w:hAnsi="Tahoma" w:cs="Tahoma"/>
          <w:sz w:val="20"/>
        </w:rPr>
        <w:t xml:space="preserve"> (in jih tudi v prihodnje ne bo)</w:t>
      </w:r>
      <w:r>
        <w:rPr>
          <w:rFonts w:ascii="Tahoma" w:hAnsi="Tahoma" w:cs="Tahoma"/>
          <w:sz w:val="20"/>
        </w:rPr>
        <w:t xml:space="preserve">, lahko ponudniki oddajo </w:t>
      </w:r>
      <w:r w:rsidR="00C86132">
        <w:rPr>
          <w:rFonts w:ascii="Tahoma" w:hAnsi="Tahoma" w:cs="Tahoma"/>
          <w:sz w:val="20"/>
        </w:rPr>
        <w:t xml:space="preserve">ponudbo tudi na </w:t>
      </w:r>
      <w:r>
        <w:rPr>
          <w:rFonts w:ascii="Tahoma" w:hAnsi="Tahoma" w:cs="Tahoma"/>
          <w:sz w:val="20"/>
        </w:rPr>
        <w:t>prvotno objavljen</w:t>
      </w:r>
      <w:r w:rsidR="00C86132">
        <w:rPr>
          <w:rFonts w:ascii="Tahoma" w:hAnsi="Tahoma" w:cs="Tahoma"/>
          <w:sz w:val="20"/>
        </w:rPr>
        <w:t>em ponudbenem</w:t>
      </w:r>
      <w:r>
        <w:rPr>
          <w:rFonts w:ascii="Tahoma" w:hAnsi="Tahoma" w:cs="Tahoma"/>
          <w:sz w:val="20"/>
        </w:rPr>
        <w:t xml:space="preserve"> predračun</w:t>
      </w:r>
      <w:r w:rsidR="00C86132">
        <w:rPr>
          <w:rFonts w:ascii="Tahoma" w:hAnsi="Tahoma" w:cs="Tahoma"/>
          <w:sz w:val="20"/>
        </w:rPr>
        <w:t>u z dne 11.4.2022.</w:t>
      </w:r>
    </w:p>
    <w:p w:rsidR="008072D7" w:rsidRPr="008072D7" w:rsidRDefault="008072D7" w:rsidP="008536AE">
      <w:pPr>
        <w:pStyle w:val="Odstavekseznama"/>
        <w:keepNext/>
        <w:keepLines/>
        <w:numPr>
          <w:ilvl w:val="0"/>
          <w:numId w:val="35"/>
        </w:numPr>
        <w:pBdr>
          <w:bottom w:val="single" w:sz="4" w:space="1" w:color="auto"/>
        </w:pBdr>
        <w:ind w:left="284" w:right="425" w:hanging="284"/>
        <w:jc w:val="both"/>
        <w:rPr>
          <w:rFonts w:ascii="Tahoma" w:hAnsi="Tahoma" w:cs="Tahoma"/>
          <w:sz w:val="20"/>
        </w:rPr>
      </w:pPr>
      <w:r w:rsidRPr="008072D7">
        <w:rPr>
          <w:rFonts w:ascii="Tahoma" w:hAnsi="Tahoma" w:cs="Tahoma"/>
          <w:sz w:val="20"/>
        </w:rPr>
        <w:t>Sestavni del razpisne dokumentacije so tudi vse morebitne spremembe, dopolnitve in popravki razpisne dokumentacije ter pojasnila in o</w:t>
      </w:r>
      <w:r>
        <w:rPr>
          <w:rFonts w:ascii="Tahoma" w:hAnsi="Tahoma" w:cs="Tahoma"/>
          <w:sz w:val="20"/>
        </w:rPr>
        <w:t xml:space="preserve">dgovori na vprašanja ponudnikov, kot je to navedeno v razpisni dokumentaciji, zato naročnik ni posebej objavil osnutek okvirnega sporazuma, ki navedeno spremembo vsebuje.  Kot je bilo navedeno v spremembi razpisne dokumentacije z dne 21. 4. 2022, bo naročnik </w:t>
      </w:r>
      <w:r w:rsidRPr="008072D7">
        <w:rPr>
          <w:rFonts w:ascii="Tahoma" w:hAnsi="Tahoma" w:cs="Tahoma"/>
          <w:sz w:val="20"/>
        </w:rPr>
        <w:t>navedeno spremembo upošteval pri pripravi in sklepanju okvirni sporazumov z izbranimi ponudniki za posamezni sklop predmeta</w:t>
      </w:r>
      <w:r w:rsidR="00382D30">
        <w:rPr>
          <w:rFonts w:ascii="Tahoma" w:hAnsi="Tahoma" w:cs="Tahoma"/>
          <w:sz w:val="20"/>
        </w:rPr>
        <w:t xml:space="preserve"> javnega naročila, upoštevajoč današnjo spremembo besedilo četrtega odstavka 4. člena osnutka okvirnega sporazuma.</w:t>
      </w:r>
    </w:p>
    <w:p w:rsidR="008072D7" w:rsidRDefault="008072D7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F64E7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8536AE" w:rsidRDefault="00601C81" w:rsidP="008536AE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Pozdravljeni,</w:t>
      </w:r>
      <w:r w:rsidR="008536AE">
        <w:rPr>
          <w:rFonts w:ascii="Tahoma" w:hAnsi="Tahoma" w:cs="Tahoma"/>
          <w:bCs/>
          <w:sz w:val="20"/>
        </w:rPr>
        <w:t xml:space="preserve"> </w:t>
      </w:r>
      <w:r w:rsidRPr="008536AE">
        <w:rPr>
          <w:rFonts w:ascii="Tahoma" w:hAnsi="Tahoma" w:cs="Tahoma"/>
          <w:bCs/>
          <w:sz w:val="20"/>
        </w:rPr>
        <w:t>v osnutku okvirnega sporazuma je v 11. členu navedeno, da dobavni rok prične teči na</w:t>
      </w:r>
      <w:r w:rsidR="008536AE">
        <w:rPr>
          <w:rFonts w:ascii="Tahoma" w:hAnsi="Tahoma" w:cs="Tahoma"/>
          <w:bCs/>
          <w:sz w:val="20"/>
        </w:rPr>
        <w:t xml:space="preserve"> </w:t>
      </w:r>
      <w:r w:rsidRPr="008536AE">
        <w:rPr>
          <w:rFonts w:ascii="Tahoma" w:hAnsi="Tahoma" w:cs="Tahoma"/>
          <w:bCs/>
          <w:sz w:val="20"/>
        </w:rPr>
        <w:t>dan, v katerem kupec med rednim delovnim časom po elektronski pošti odda naročilo prodajalcu.</w:t>
      </w:r>
      <w:r w:rsidR="008536AE">
        <w:rPr>
          <w:rFonts w:ascii="Tahoma" w:hAnsi="Tahoma" w:cs="Tahoma"/>
          <w:bCs/>
          <w:sz w:val="20"/>
        </w:rPr>
        <w:t xml:space="preserve"> </w:t>
      </w:r>
      <w:r w:rsidRPr="008536AE">
        <w:rPr>
          <w:rFonts w:ascii="Tahoma" w:hAnsi="Tahoma" w:cs="Tahoma"/>
          <w:bCs/>
          <w:sz w:val="20"/>
        </w:rPr>
        <w:t xml:space="preserve">Glede na to, da smo do sedaj večinoma prejemali vaša naročila šele med 12. in 14. uro, bi bilo prav, </w:t>
      </w:r>
    </w:p>
    <w:p w:rsidR="00601C81" w:rsidRPr="008536AE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da začne dobavni rok teči šele naslednji delovni dan. Predlagamo ustrezno spremembo tega člena.</w:t>
      </w:r>
    </w:p>
    <w:p w:rsidR="00601C81" w:rsidRDefault="00601C81" w:rsidP="008536AE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F64E7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2068BC" w:rsidRPr="008536AE" w:rsidRDefault="008536AE" w:rsidP="008536AE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Dobavni rok ostane nespremenjen.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F64E7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8536AE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Kumulativno povečanje indeksa cen industrijskih proizvodov</w:t>
      </w:r>
      <w:r w:rsidR="008536AE">
        <w:rPr>
          <w:rFonts w:ascii="Tahoma" w:hAnsi="Tahoma" w:cs="Tahoma"/>
          <w:bCs/>
          <w:sz w:val="20"/>
        </w:rPr>
        <w:t xml:space="preserve">. </w:t>
      </w:r>
      <w:r w:rsidRPr="008536AE">
        <w:rPr>
          <w:rFonts w:ascii="Tahoma" w:hAnsi="Tahoma" w:cs="Tahoma"/>
          <w:bCs/>
          <w:sz w:val="20"/>
        </w:rPr>
        <w:t>Katera življenjska potrebščina točno se upošteva pri gledanju indeksa po podatkih Statističnega urada RS?</w:t>
      </w:r>
    </w:p>
    <w:p w:rsidR="008536AE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07.2.1 Rezervni deli in dodatki za osebna vozila?</w:t>
      </w:r>
    </w:p>
    <w:p w:rsidR="00601C81" w:rsidRPr="008536AE" w:rsidRDefault="00601C81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536AE">
        <w:rPr>
          <w:rFonts w:ascii="Tahoma" w:hAnsi="Tahoma" w:cs="Tahoma"/>
          <w:bCs/>
          <w:sz w:val="20"/>
        </w:rPr>
        <w:t>07.2.1.2 Rezervni deli za osebna vozila?</w:t>
      </w:r>
    </w:p>
    <w:p w:rsidR="00601C81" w:rsidRDefault="00601C81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C86132" w:rsidRDefault="00C86132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8F64E7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lastRenderedPageBreak/>
        <w:t>ODGOVOR:</w:t>
      </w:r>
    </w:p>
    <w:p w:rsidR="00C86132" w:rsidRDefault="00C86132" w:rsidP="00C8613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spremembe razpisne dokumentacije z dne 21. 4. 2022 v delu, ki se nanaša na spremembo 4. člena osnutka okvirnega sporazuma in sicer na način, da se navedeno besedilo črta in se ga nadomesti s spodaj navedenim besedilom.</w:t>
      </w:r>
      <w:r w:rsidR="0086336E">
        <w:rPr>
          <w:rFonts w:ascii="Tahoma" w:hAnsi="Tahoma" w:cs="Tahoma"/>
          <w:bCs/>
          <w:sz w:val="20"/>
        </w:rPr>
        <w:t xml:space="preserve"> Besedilo drugega odstavka 4. člena okvirnega sporazuma naročnik ne spreminja in ostane enako, kot ga je naročnik navedel v spremembi razpisne dokumentacije z dne 21. 4. 2022.</w:t>
      </w:r>
    </w:p>
    <w:p w:rsidR="00C86132" w:rsidRDefault="00C86132" w:rsidP="00C8613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C86132" w:rsidRDefault="00C86132" w:rsidP="00C86132">
      <w:pPr>
        <w:keepNext/>
        <w:keepLines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razpisno dokumentacijo na način, da spreminja besedilo 4. člena osnutka okvirnega sporazuma na način, da se </w:t>
      </w:r>
      <w:r w:rsidR="0086336E">
        <w:rPr>
          <w:rFonts w:ascii="Tahoma" w:hAnsi="Tahoma" w:cs="Tahoma"/>
          <w:bCs/>
          <w:sz w:val="20"/>
        </w:rPr>
        <w:t xml:space="preserve">spreminja besedilo </w:t>
      </w:r>
      <w:r>
        <w:rPr>
          <w:rFonts w:ascii="Tahoma" w:hAnsi="Tahoma" w:cs="Tahoma"/>
          <w:bCs/>
          <w:sz w:val="20"/>
        </w:rPr>
        <w:t>nov</w:t>
      </w:r>
      <w:r w:rsidR="0086336E">
        <w:rPr>
          <w:rFonts w:ascii="Tahoma" w:hAnsi="Tahoma" w:cs="Tahoma"/>
          <w:bCs/>
          <w:sz w:val="20"/>
        </w:rPr>
        <w:t>ega (četrtega</w:t>
      </w:r>
      <w:r>
        <w:rPr>
          <w:rFonts w:ascii="Tahoma" w:hAnsi="Tahoma" w:cs="Tahoma"/>
          <w:bCs/>
          <w:sz w:val="20"/>
        </w:rPr>
        <w:t xml:space="preserve">) </w:t>
      </w:r>
      <w:r w:rsidR="0086336E">
        <w:rPr>
          <w:rFonts w:ascii="Tahoma" w:hAnsi="Tahoma" w:cs="Tahoma"/>
          <w:bCs/>
          <w:sz w:val="20"/>
        </w:rPr>
        <w:t>odstavka</w:t>
      </w:r>
      <w:r>
        <w:rPr>
          <w:rFonts w:ascii="Tahoma" w:hAnsi="Tahoma" w:cs="Tahoma"/>
          <w:bCs/>
          <w:sz w:val="20"/>
        </w:rPr>
        <w:t xml:space="preserve"> navedenega člena osnutka okvirnega sporazuma, ki se </w:t>
      </w:r>
      <w:r w:rsidR="0086336E">
        <w:rPr>
          <w:rFonts w:ascii="Tahoma" w:hAnsi="Tahoma" w:cs="Tahoma"/>
          <w:bCs/>
          <w:sz w:val="20"/>
        </w:rPr>
        <w:t xml:space="preserve">po novem </w:t>
      </w:r>
      <w:r>
        <w:rPr>
          <w:rFonts w:ascii="Tahoma" w:hAnsi="Tahoma" w:cs="Tahoma"/>
          <w:bCs/>
          <w:sz w:val="20"/>
        </w:rPr>
        <w:t>glasi:</w:t>
      </w:r>
    </w:p>
    <w:p w:rsidR="00C86132" w:rsidRDefault="00C86132" w:rsidP="00C86132">
      <w:pPr>
        <w:keepNext/>
        <w:keepLines/>
        <w:rPr>
          <w:rFonts w:ascii="Tahoma" w:hAnsi="Tahoma" w:cs="Tahoma"/>
          <w:color w:val="00B050"/>
          <w:sz w:val="20"/>
        </w:rPr>
      </w:pPr>
    </w:p>
    <w:p w:rsidR="00C86132" w:rsidRPr="003D2A16" w:rsidRDefault="00C86132" w:rsidP="00C86132">
      <w:pPr>
        <w:keepNext/>
        <w:keepLines/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»</w:t>
      </w:r>
      <w:r w:rsidRPr="003D2A16">
        <w:rPr>
          <w:rFonts w:ascii="Tahoma" w:hAnsi="Tahoma" w:cs="Tahoma"/>
          <w:sz w:val="20"/>
        </w:rPr>
        <w:t>Povišanje cen iz ponudbenega predračuna se lahko, v skladu s Pravilnikom o načinih valorizacije denarnih obveznosti, ki jih v večletnih pogodbah dogovarjajo pravne osebe javnega sektorja (Uradni list RS, št. 1/04 in nadaljnji), prvič izvede:</w:t>
      </w:r>
    </w:p>
    <w:p w:rsidR="00C86132" w:rsidRPr="003D2A16" w:rsidRDefault="00C86132" w:rsidP="00C86132">
      <w:pPr>
        <w:keepNext/>
        <w:keepLines/>
        <w:numPr>
          <w:ilvl w:val="0"/>
          <w:numId w:val="34"/>
        </w:numPr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 xml:space="preserve">po preteku 1 (enega) leta od sklenitve okvirnega sporazuma in </w:t>
      </w:r>
    </w:p>
    <w:p w:rsidR="00C86132" w:rsidRPr="003D2A16" w:rsidRDefault="0010546B" w:rsidP="00C86132">
      <w:pPr>
        <w:keepNext/>
        <w:keepLines/>
        <w:numPr>
          <w:ilvl w:val="0"/>
          <w:numId w:val="3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ko kumulativno povečanje </w:t>
      </w:r>
      <w:r w:rsidR="00C86132" w:rsidRPr="003D2A16">
        <w:rPr>
          <w:rFonts w:ascii="Tahoma" w:hAnsi="Tahoma" w:cs="Tahoma"/>
          <w:sz w:val="20"/>
        </w:rPr>
        <w:t xml:space="preserve">indeksa cen </w:t>
      </w:r>
      <w:r>
        <w:rPr>
          <w:rFonts w:ascii="Tahoma" w:hAnsi="Tahoma" w:cs="Tahoma"/>
          <w:sz w:val="20"/>
        </w:rPr>
        <w:t xml:space="preserve">industrijskih proizvodov za dejavnost C 29 </w:t>
      </w:r>
      <w:r w:rsidRPr="0010546B">
        <w:rPr>
          <w:rFonts w:ascii="Tahoma" w:hAnsi="Tahoma" w:cs="Tahoma"/>
          <w:sz w:val="20"/>
        </w:rPr>
        <w:t>Proizvodnja motornih</w:t>
      </w:r>
      <w:r>
        <w:rPr>
          <w:rFonts w:ascii="Tahoma" w:hAnsi="Tahoma" w:cs="Tahoma"/>
          <w:sz w:val="20"/>
        </w:rPr>
        <w:t xml:space="preserve"> vozil, prikolic in polprikolic </w:t>
      </w:r>
      <w:r w:rsidR="0086336E">
        <w:rPr>
          <w:rFonts w:ascii="Tahoma" w:hAnsi="Tahoma" w:cs="Tahoma"/>
          <w:sz w:val="20"/>
        </w:rPr>
        <w:t xml:space="preserve">(ID tabele: </w:t>
      </w:r>
      <w:r w:rsidRPr="0010546B">
        <w:rPr>
          <w:rFonts w:ascii="Tahoma" w:hAnsi="Tahoma" w:cs="Tahoma"/>
          <w:sz w:val="20"/>
        </w:rPr>
        <w:t>0457101S</w:t>
      </w:r>
      <w:r w:rsidR="00382D30">
        <w:rPr>
          <w:rFonts w:ascii="Tahoma" w:hAnsi="Tahoma" w:cs="Tahoma"/>
          <w:sz w:val="20"/>
        </w:rPr>
        <w:t>)</w:t>
      </w:r>
      <w:r w:rsidR="00C86132" w:rsidRPr="003D2A16">
        <w:rPr>
          <w:rFonts w:ascii="Tahoma" w:hAnsi="Tahoma" w:cs="Tahoma"/>
          <w:sz w:val="20"/>
        </w:rPr>
        <w:t xml:space="preserve">, po podatkih Statističnega urada RS, preseže štiri odstotke (4 %) vrednosti, šteto od preteka 1 (enega) leta od sklenitve okvirnega sporazuma. </w:t>
      </w:r>
    </w:p>
    <w:p w:rsidR="00C86132" w:rsidRPr="003D2A16" w:rsidRDefault="00C86132" w:rsidP="00C86132">
      <w:pPr>
        <w:keepNext/>
        <w:keepLines/>
        <w:jc w:val="both"/>
        <w:rPr>
          <w:rFonts w:ascii="Tahoma" w:hAnsi="Tahoma" w:cs="Tahoma"/>
          <w:sz w:val="20"/>
        </w:rPr>
      </w:pPr>
    </w:p>
    <w:p w:rsidR="00C86132" w:rsidRDefault="00C86132" w:rsidP="00C86132">
      <w:pPr>
        <w:keepNext/>
        <w:keepLines/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>Povišan</w:t>
      </w:r>
      <w:r>
        <w:rPr>
          <w:rFonts w:ascii="Tahoma" w:hAnsi="Tahoma" w:cs="Tahoma"/>
          <w:sz w:val="20"/>
        </w:rPr>
        <w:t xml:space="preserve">je cen lahko znaša največ </w:t>
      </w:r>
      <w:r w:rsidRPr="003D2A16">
        <w:rPr>
          <w:rFonts w:ascii="Tahoma" w:hAnsi="Tahoma" w:cs="Tahoma"/>
          <w:sz w:val="20"/>
        </w:rPr>
        <w:t xml:space="preserve">osemdeset odstotkov (80 %) povečanja </w:t>
      </w:r>
      <w:r>
        <w:rPr>
          <w:rFonts w:ascii="Tahoma" w:hAnsi="Tahoma" w:cs="Tahoma"/>
          <w:sz w:val="20"/>
        </w:rPr>
        <w:t xml:space="preserve">navedenega </w:t>
      </w:r>
      <w:r w:rsidRPr="003D2A16">
        <w:rPr>
          <w:rFonts w:ascii="Tahoma" w:hAnsi="Tahoma" w:cs="Tahoma"/>
          <w:sz w:val="20"/>
        </w:rPr>
        <w:t>indeksa cen. Nadaljnja povišanja cen se lahko izvedejo, ko kumulativno povečanje</w:t>
      </w:r>
      <w:r w:rsidR="00382D30">
        <w:rPr>
          <w:rFonts w:ascii="Tahoma" w:hAnsi="Tahoma" w:cs="Tahoma"/>
          <w:sz w:val="20"/>
        </w:rPr>
        <w:t xml:space="preserve"> </w:t>
      </w:r>
      <w:r w:rsidR="0010546B" w:rsidRPr="003D2A16">
        <w:rPr>
          <w:rFonts w:ascii="Tahoma" w:hAnsi="Tahoma" w:cs="Tahoma"/>
          <w:sz w:val="20"/>
        </w:rPr>
        <w:t xml:space="preserve">indeksa cen </w:t>
      </w:r>
      <w:r w:rsidR="0010546B">
        <w:rPr>
          <w:rFonts w:ascii="Tahoma" w:hAnsi="Tahoma" w:cs="Tahoma"/>
          <w:sz w:val="20"/>
        </w:rPr>
        <w:t xml:space="preserve">industrijskih proizvodov za dejavnost C 29 </w:t>
      </w:r>
      <w:r w:rsidR="0010546B" w:rsidRPr="0010546B">
        <w:rPr>
          <w:rFonts w:ascii="Tahoma" w:hAnsi="Tahoma" w:cs="Tahoma"/>
          <w:sz w:val="20"/>
        </w:rPr>
        <w:t>Proizvodnja motornih</w:t>
      </w:r>
      <w:r w:rsidR="0010546B">
        <w:rPr>
          <w:rFonts w:ascii="Tahoma" w:hAnsi="Tahoma" w:cs="Tahoma"/>
          <w:sz w:val="20"/>
        </w:rPr>
        <w:t xml:space="preserve"> vozil, prikolic in polprikolic (ID tabele: </w:t>
      </w:r>
      <w:r w:rsidR="0010546B" w:rsidRPr="0010546B">
        <w:rPr>
          <w:rFonts w:ascii="Tahoma" w:hAnsi="Tahoma" w:cs="Tahoma"/>
          <w:sz w:val="20"/>
        </w:rPr>
        <w:t>0457101S</w:t>
      </w:r>
      <w:r w:rsidR="0010546B">
        <w:rPr>
          <w:rFonts w:ascii="Tahoma" w:hAnsi="Tahoma" w:cs="Tahoma"/>
          <w:sz w:val="20"/>
        </w:rPr>
        <w:t>)</w:t>
      </w:r>
      <w:r w:rsidRPr="003D2A16">
        <w:rPr>
          <w:rFonts w:ascii="Tahoma" w:hAnsi="Tahoma" w:cs="Tahoma"/>
          <w:sz w:val="20"/>
        </w:rPr>
        <w:t>, ponovno preseže štiri odstotke (4 %) vrednosti od zadnjega povišanja cen.</w:t>
      </w:r>
    </w:p>
    <w:p w:rsidR="00C86132" w:rsidRPr="003D2A16" w:rsidRDefault="00C86132" w:rsidP="00C86132">
      <w:pPr>
        <w:keepNext/>
        <w:keepLines/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 xml:space="preserve"> </w:t>
      </w:r>
    </w:p>
    <w:p w:rsidR="00C86132" w:rsidRPr="003D2A16" w:rsidRDefault="00C86132" w:rsidP="00C86132">
      <w:pPr>
        <w:keepNext/>
        <w:keepLines/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>Prodajalec mora pred uveljavljanjem spremembe cen, predložiti kupcu zahtevek za spremembo cen z dokazili o upravičenosti predlagane spremembe. Kupec se mora s spremembo cen strinjati, kar bo</w:t>
      </w:r>
      <w:r w:rsidR="003C3E8E">
        <w:rPr>
          <w:rFonts w:ascii="Tahoma" w:hAnsi="Tahoma" w:cs="Tahoma"/>
          <w:sz w:val="20"/>
        </w:rPr>
        <w:t xml:space="preserve"> potrdil </w:t>
      </w:r>
      <w:r w:rsidRPr="003D2A16">
        <w:rPr>
          <w:rFonts w:ascii="Tahoma" w:hAnsi="Tahoma" w:cs="Tahoma"/>
          <w:sz w:val="20"/>
        </w:rPr>
        <w:t>s sklenitvijo aneksa k okvirnemu sporazumu.</w:t>
      </w:r>
    </w:p>
    <w:p w:rsidR="00C86132" w:rsidRPr="003D2A16" w:rsidRDefault="00C86132" w:rsidP="00C86132">
      <w:pPr>
        <w:keepNext/>
        <w:keepLines/>
        <w:jc w:val="both"/>
        <w:rPr>
          <w:rFonts w:ascii="Tahoma" w:hAnsi="Tahoma" w:cs="Tahoma"/>
          <w:color w:val="000000"/>
          <w:sz w:val="20"/>
        </w:rPr>
      </w:pPr>
    </w:p>
    <w:p w:rsidR="00C86132" w:rsidRPr="003D2A16" w:rsidRDefault="00C86132" w:rsidP="00C86132">
      <w:pPr>
        <w:keepNext/>
        <w:keepLines/>
        <w:tabs>
          <w:tab w:val="left" w:pos="0"/>
        </w:tabs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>V primeru znižanja dogovorjenega indeksa cen, se določila tega člena smiselno uporabljajo tudi za znižanje cen iz ponudbenega predračuna prodajalca.</w:t>
      </w:r>
      <w:r>
        <w:rPr>
          <w:rFonts w:ascii="Tahoma" w:hAnsi="Tahoma" w:cs="Tahoma"/>
          <w:sz w:val="20"/>
        </w:rPr>
        <w:t>«</w:t>
      </w:r>
    </w:p>
    <w:p w:rsidR="00C86132" w:rsidRDefault="00C86132" w:rsidP="00C86132">
      <w:pPr>
        <w:keepNext/>
        <w:keepLines/>
        <w:tabs>
          <w:tab w:val="left" w:pos="0"/>
        </w:tabs>
        <w:jc w:val="both"/>
        <w:rPr>
          <w:rFonts w:ascii="Tahoma" w:hAnsi="Tahoma" w:cs="Tahoma"/>
          <w:sz w:val="20"/>
        </w:rPr>
      </w:pPr>
    </w:p>
    <w:p w:rsidR="00C86132" w:rsidRPr="003D2A16" w:rsidRDefault="00C86132" w:rsidP="00C86132">
      <w:pPr>
        <w:keepNext/>
        <w:keepLines/>
        <w:pBdr>
          <w:bottom w:val="single" w:sz="4" w:space="1" w:color="auto"/>
        </w:pBd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3D2A16">
        <w:rPr>
          <w:rFonts w:ascii="Tahoma" w:hAnsi="Tahoma" w:cs="Tahoma"/>
          <w:sz w:val="20"/>
        </w:rPr>
        <w:t xml:space="preserve">Naročnik bo navedeno spremembo upošteval pri </w:t>
      </w:r>
      <w:r>
        <w:rPr>
          <w:rFonts w:ascii="Tahoma" w:hAnsi="Tahoma" w:cs="Tahoma"/>
          <w:sz w:val="20"/>
        </w:rPr>
        <w:t>pripravi in sklepanju okvirni sporazumov z izbranimi ponudniki za posamezni sklop predmeta javnega naročila.</w:t>
      </w:r>
    </w:p>
    <w:p w:rsidR="00C86132" w:rsidRDefault="00C86132" w:rsidP="00C8613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536AE" w:rsidRDefault="00157E17" w:rsidP="008536AE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Spremenjen ponudbeni predračun</w:t>
      </w: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 se nanaša odgovore na vprašanja </w:t>
      </w:r>
      <w:r w:rsidR="00C86132">
        <w:rPr>
          <w:rFonts w:ascii="Tahoma" w:hAnsi="Tahoma" w:cs="Tahoma"/>
          <w:bCs/>
          <w:sz w:val="20"/>
        </w:rPr>
        <w:t>z dne 26</w:t>
      </w:r>
      <w:r w:rsidR="00932D14">
        <w:rPr>
          <w:rFonts w:ascii="Tahoma" w:hAnsi="Tahoma" w:cs="Tahoma"/>
          <w:bCs/>
          <w:sz w:val="20"/>
        </w:rPr>
        <w:t>. 4</w:t>
      </w:r>
      <w:r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  <w:r w:rsidR="008536AE">
        <w:rPr>
          <w:rFonts w:ascii="Tahoma" w:hAnsi="Tahoma" w:cs="Tahoma"/>
          <w:bCs/>
          <w:sz w:val="20"/>
        </w:rPr>
        <w:t xml:space="preserve">2022 oziroma za sklop št. 3: MB splošni rezervni deli in sklop št. 10: ZF rezervni deli. Ponudniki morajo oddati ponudbo za navedena sklopa na </w:t>
      </w:r>
      <w:r w:rsidR="00C86132">
        <w:rPr>
          <w:rFonts w:ascii="Tahoma" w:hAnsi="Tahoma" w:cs="Tahoma"/>
          <w:bCs/>
          <w:sz w:val="20"/>
        </w:rPr>
        <w:t>spremenjenem ponudbenem z dne 26</w:t>
      </w:r>
      <w:r w:rsidR="008536AE">
        <w:rPr>
          <w:rFonts w:ascii="Tahoma" w:hAnsi="Tahoma" w:cs="Tahoma"/>
          <w:bCs/>
          <w:sz w:val="20"/>
        </w:rPr>
        <w:t>. 4. 2022. V nasprotnem primeru bo naročnik tako ponudbo izločil iz nadaljnjega ocenjevanja, kot nedopustno.</w:t>
      </w:r>
    </w:p>
    <w:p w:rsidR="008536AE" w:rsidRDefault="008536AE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36AE" w:rsidRDefault="00A85227" w:rsidP="005523E9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 objavljenim</w:t>
      </w:r>
      <w:r w:rsidR="00C86132">
        <w:rPr>
          <w:rFonts w:ascii="Tahoma" w:hAnsi="Tahoma" w:cs="Tahoma"/>
          <w:bCs/>
          <w:sz w:val="20"/>
        </w:rPr>
        <w:t>i odgovori na vprašanja z dne 26</w:t>
      </w:r>
      <w:r>
        <w:rPr>
          <w:rFonts w:ascii="Tahoma" w:hAnsi="Tahoma" w:cs="Tahoma"/>
          <w:bCs/>
          <w:sz w:val="20"/>
        </w:rPr>
        <w:t>. 4. 2022 se ponudbeni predračuni z</w:t>
      </w:r>
      <w:r w:rsidR="00157E17">
        <w:rPr>
          <w:rFonts w:ascii="Tahoma" w:hAnsi="Tahoma" w:cs="Tahoma"/>
          <w:bCs/>
          <w:sz w:val="20"/>
        </w:rPr>
        <w:t xml:space="preserve">a ostale sklope predmeta javnega naročila </w:t>
      </w:r>
      <w:r w:rsidR="008536AE">
        <w:rPr>
          <w:rFonts w:ascii="Tahoma" w:hAnsi="Tahoma" w:cs="Tahoma"/>
          <w:bCs/>
          <w:sz w:val="20"/>
        </w:rPr>
        <w:t xml:space="preserve">ne spreminjajo. </w:t>
      </w: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8536AE" w:rsidRDefault="008536AE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67016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CC126CE"/>
    <w:multiLevelType w:val="hybridMultilevel"/>
    <w:tmpl w:val="71AE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7"/>
  </w:num>
  <w:num w:numId="4">
    <w:abstractNumId w:val="21"/>
  </w:num>
  <w:num w:numId="5">
    <w:abstractNumId w:val="19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2"/>
  </w:num>
  <w:num w:numId="23">
    <w:abstractNumId w:val="10"/>
  </w:num>
  <w:num w:numId="24">
    <w:abstractNumId w:val="29"/>
  </w:num>
  <w:num w:numId="25">
    <w:abstractNumId w:val="28"/>
  </w:num>
  <w:num w:numId="26">
    <w:abstractNumId w:val="3"/>
  </w:num>
  <w:num w:numId="27">
    <w:abstractNumId w:val="30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546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068BC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2D30"/>
    <w:rsid w:val="00387F4F"/>
    <w:rsid w:val="0039059B"/>
    <w:rsid w:val="00391DD6"/>
    <w:rsid w:val="00396E64"/>
    <w:rsid w:val="003B0717"/>
    <w:rsid w:val="003B151C"/>
    <w:rsid w:val="003C1FCF"/>
    <w:rsid w:val="003C3E8E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23E9"/>
    <w:rsid w:val="005555B1"/>
    <w:rsid w:val="0056182D"/>
    <w:rsid w:val="0057721D"/>
    <w:rsid w:val="00583FEE"/>
    <w:rsid w:val="00585E0E"/>
    <w:rsid w:val="005955C4"/>
    <w:rsid w:val="00597FE2"/>
    <w:rsid w:val="005A1CF2"/>
    <w:rsid w:val="005B4C30"/>
    <w:rsid w:val="005C2DB5"/>
    <w:rsid w:val="005C2DB7"/>
    <w:rsid w:val="005D2112"/>
    <w:rsid w:val="005D7123"/>
    <w:rsid w:val="005E7331"/>
    <w:rsid w:val="005F40F3"/>
    <w:rsid w:val="00600300"/>
    <w:rsid w:val="00601C81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B314F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072D7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36AE"/>
    <w:rsid w:val="00856BAF"/>
    <w:rsid w:val="00856BF6"/>
    <w:rsid w:val="0086336E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67016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C2A0D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22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86132"/>
    <w:rsid w:val="00CA4F0B"/>
    <w:rsid w:val="00CB065C"/>
    <w:rsid w:val="00CB0A4A"/>
    <w:rsid w:val="00CB4495"/>
    <w:rsid w:val="00CB702E"/>
    <w:rsid w:val="00CB77D3"/>
    <w:rsid w:val="00CD1834"/>
    <w:rsid w:val="00CE4D71"/>
    <w:rsid w:val="00CF300D"/>
    <w:rsid w:val="00CF4117"/>
    <w:rsid w:val="00CF6406"/>
    <w:rsid w:val="00D02474"/>
    <w:rsid w:val="00D03AF4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6BE3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1F41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B2676"/>
    <w:rsid w:val="00ED2035"/>
    <w:rsid w:val="00ED28EB"/>
    <w:rsid w:val="00ED402D"/>
    <w:rsid w:val="00EE78E3"/>
    <w:rsid w:val="00EF65C1"/>
    <w:rsid w:val="00F03146"/>
    <w:rsid w:val="00F14403"/>
    <w:rsid w:val="00F14D9E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626C9"/>
    <w:rsid w:val="00F759FD"/>
    <w:rsid w:val="00F801AD"/>
    <w:rsid w:val="00F81EDE"/>
    <w:rsid w:val="00F859FE"/>
    <w:rsid w:val="00F86BF7"/>
    <w:rsid w:val="00F945FB"/>
    <w:rsid w:val="00FA1A43"/>
    <w:rsid w:val="00FA4F5F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01FFA303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34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2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BBA3-CD16-471C-BA4C-A4376699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57</cp:revision>
  <cp:lastPrinted>2022-04-26T05:29:00Z</cp:lastPrinted>
  <dcterms:created xsi:type="dcterms:W3CDTF">2022-04-23T06:52:00Z</dcterms:created>
  <dcterms:modified xsi:type="dcterms:W3CDTF">2022-04-26T11:46:00Z</dcterms:modified>
</cp:coreProperties>
</file>